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5BED" w14:paraId="12BD499C" w14:textId="77777777" w:rsidTr="0010095E">
        <w:trPr>
          <w:trHeight w:hRule="exact" w:val="1418"/>
        </w:trPr>
        <w:tc>
          <w:tcPr>
            <w:tcW w:w="6804" w:type="dxa"/>
            <w:shd w:val="clear" w:color="auto" w:fill="auto"/>
            <w:vAlign w:val="center"/>
          </w:tcPr>
          <w:p w14:paraId="19DA5792" w14:textId="3CAAABCA" w:rsidR="00751A4A" w:rsidRPr="000E5BED" w:rsidRDefault="00B326BB" w:rsidP="0010095E">
            <w:pPr>
              <w:pStyle w:val="EPName"/>
            </w:pPr>
            <w:r w:rsidRPr="000E5BED">
              <w:t>Parlamento Europeo</w:t>
            </w:r>
          </w:p>
          <w:p w14:paraId="685E4ADD" w14:textId="77777777" w:rsidR="00751A4A" w:rsidRPr="000E5BED" w:rsidRDefault="005F1B17" w:rsidP="005F1B17">
            <w:pPr>
              <w:pStyle w:val="EPTerm"/>
              <w:rPr>
                <w:rStyle w:val="HideTWBExt"/>
                <w:noProof w:val="0"/>
                <w:vanish w:val="0"/>
                <w:color w:val="auto"/>
              </w:rPr>
            </w:pPr>
            <w:r w:rsidRPr="000E5BED">
              <w:t>2024</w:t>
            </w:r>
            <w:r w:rsidR="00817416" w:rsidRPr="000E5BED">
              <w:t>-202</w:t>
            </w:r>
            <w:r w:rsidRPr="000E5BED">
              <w:t>9</w:t>
            </w:r>
          </w:p>
        </w:tc>
        <w:tc>
          <w:tcPr>
            <w:tcW w:w="2268" w:type="dxa"/>
            <w:shd w:val="clear" w:color="auto" w:fill="auto"/>
          </w:tcPr>
          <w:p w14:paraId="046ADD6D" w14:textId="77777777" w:rsidR="00751A4A" w:rsidRPr="000E5BED" w:rsidRDefault="00187494" w:rsidP="0010095E">
            <w:pPr>
              <w:pStyle w:val="EPLogo"/>
            </w:pPr>
            <w:r w:rsidRPr="000E5BED">
              <w:rPr>
                <w:noProof/>
                <w:lang w:eastAsia="ja-JP"/>
              </w:rPr>
              <w:drawing>
                <wp:inline distT="0" distB="0" distL="0" distR="0" wp14:anchorId="02F5A4A5" wp14:editId="24BA0D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BDA331" w14:textId="77777777" w:rsidR="00D058B8" w:rsidRPr="000E5BED" w:rsidRDefault="00D058B8" w:rsidP="004C5D52">
      <w:pPr>
        <w:pStyle w:val="LineTop"/>
      </w:pPr>
    </w:p>
    <w:p w14:paraId="402A4726" w14:textId="1703691B" w:rsidR="00680577" w:rsidRPr="000E5BED" w:rsidRDefault="00B326BB" w:rsidP="00680577">
      <w:pPr>
        <w:pStyle w:val="EPBodyTA1"/>
      </w:pPr>
      <w:r w:rsidRPr="000E5BED">
        <w:t>TEXTOS APROBADOS</w:t>
      </w:r>
    </w:p>
    <w:p w14:paraId="30F84710" w14:textId="77777777" w:rsidR="00D058B8" w:rsidRPr="000E5BED" w:rsidRDefault="00D058B8" w:rsidP="00D058B8">
      <w:pPr>
        <w:pStyle w:val="LineBottom"/>
      </w:pPr>
    </w:p>
    <w:p w14:paraId="6ADFCF0B" w14:textId="5AA25B71" w:rsidR="00B326BB" w:rsidRPr="000E5BED" w:rsidRDefault="00B326BB" w:rsidP="00B326BB">
      <w:pPr>
        <w:pStyle w:val="ATHeading1"/>
      </w:pPr>
      <w:bookmarkStart w:id="0" w:name="TANumber"/>
      <w:r w:rsidRPr="000E5BED">
        <w:t>P10_TA(2026)00</w:t>
      </w:r>
      <w:r w:rsidR="00B81029" w:rsidRPr="000E5BED">
        <w:t>88</w:t>
      </w:r>
      <w:bookmarkEnd w:id="0"/>
    </w:p>
    <w:p w14:paraId="25330991" w14:textId="77777777" w:rsidR="00B326BB" w:rsidRPr="000E5BED" w:rsidRDefault="00B326BB" w:rsidP="00B326BB">
      <w:pPr>
        <w:pStyle w:val="ATHeading2"/>
      </w:pPr>
      <w:bookmarkStart w:id="1" w:name="title"/>
      <w:r w:rsidRPr="000E5BED">
        <w:t>Suplicatorio de suspensión de la inmunidad de Grzegorz Braun</w:t>
      </w:r>
      <w:bookmarkEnd w:id="1"/>
    </w:p>
    <w:p w14:paraId="3CD9A814" w14:textId="77777777" w:rsidR="00B326BB" w:rsidRPr="000E5BED" w:rsidRDefault="00B326BB" w:rsidP="00B326BB">
      <w:pPr>
        <w:rPr>
          <w:i/>
          <w:vanish/>
        </w:rPr>
      </w:pPr>
      <w:r w:rsidRPr="000E5BED">
        <w:rPr>
          <w:i/>
        </w:rPr>
        <w:fldChar w:fldCharType="begin"/>
      </w:r>
      <w:r w:rsidRPr="000E5BED">
        <w:rPr>
          <w:i/>
        </w:rPr>
        <w:instrText xml:space="preserve"> TC"(</w:instrText>
      </w:r>
      <w:bookmarkStart w:id="2" w:name="DocNumber"/>
      <w:r w:rsidRPr="000E5BED">
        <w:rPr>
          <w:i/>
        </w:rPr>
        <w:instrText>A10-0076/2026</w:instrText>
      </w:r>
      <w:bookmarkEnd w:id="2"/>
      <w:r w:rsidRPr="000E5BED">
        <w:rPr>
          <w:i/>
        </w:rPr>
        <w:instrText xml:space="preserve"> - Ponente: Dainius Žalimas)"\l3 \n&gt; \* MERGEFORMAT </w:instrText>
      </w:r>
      <w:r w:rsidRPr="000E5BED">
        <w:rPr>
          <w:i/>
        </w:rPr>
        <w:fldChar w:fldCharType="end"/>
      </w:r>
    </w:p>
    <w:p w14:paraId="70E3FDA0" w14:textId="77777777" w:rsidR="00B326BB" w:rsidRPr="000E5BED" w:rsidRDefault="00B326BB" w:rsidP="00B326BB">
      <w:pPr>
        <w:rPr>
          <w:vanish/>
        </w:rPr>
      </w:pPr>
      <w:bookmarkStart w:id="3" w:name="Commission"/>
      <w:r w:rsidRPr="000E5BED">
        <w:rPr>
          <w:vanish/>
        </w:rPr>
        <w:t>Comisión de Asuntos Jurídicos</w:t>
      </w:r>
      <w:bookmarkEnd w:id="3"/>
    </w:p>
    <w:p w14:paraId="46E952A7" w14:textId="77777777" w:rsidR="00B326BB" w:rsidRPr="000E5BED" w:rsidRDefault="00B326BB" w:rsidP="00B326BB">
      <w:pPr>
        <w:rPr>
          <w:vanish/>
        </w:rPr>
      </w:pPr>
      <w:bookmarkStart w:id="4" w:name="PE"/>
      <w:r w:rsidRPr="000E5BED">
        <w:rPr>
          <w:vanish/>
        </w:rPr>
        <w:t>PE784.379</w:t>
      </w:r>
      <w:bookmarkEnd w:id="4"/>
    </w:p>
    <w:p w14:paraId="12930DBC" w14:textId="77777777" w:rsidR="00B326BB" w:rsidRPr="000E5BED" w:rsidRDefault="00B326BB" w:rsidP="00B326BB">
      <w:pPr>
        <w:pStyle w:val="ATHeading3"/>
      </w:pPr>
      <w:bookmarkStart w:id="5" w:name="Sujet"/>
      <w:r w:rsidRPr="000E5BED">
        <w:t>Decisión del Parlamento Europeo, de 26 de marzo de 2026, sobre el suplicatorio de suspensión de la inmunidad de Grzegorz Braun</w:t>
      </w:r>
      <w:bookmarkEnd w:id="5"/>
      <w:r w:rsidRPr="000E5BED">
        <w:t xml:space="preserve"> </w:t>
      </w:r>
      <w:bookmarkStart w:id="6" w:name="References"/>
      <w:r w:rsidRPr="000E5BED">
        <w:t>(2025/2192(IMM))</w:t>
      </w:r>
      <w:bookmarkEnd w:id="6"/>
    </w:p>
    <w:p w14:paraId="5BC3F889" w14:textId="77777777" w:rsidR="00673945" w:rsidRPr="000E5BED" w:rsidRDefault="00673945" w:rsidP="00673945">
      <w:pPr>
        <w:pStyle w:val="EPComma"/>
      </w:pPr>
      <w:bookmarkStart w:id="7" w:name="TextBodyBegin"/>
      <w:bookmarkEnd w:id="7"/>
      <w:r w:rsidRPr="000E5BED">
        <w:rPr>
          <w:i/>
        </w:rPr>
        <w:t>El Parlamento Europeo</w:t>
      </w:r>
      <w:r w:rsidRPr="000E5BED">
        <w:t>,</w:t>
      </w:r>
    </w:p>
    <w:p w14:paraId="0822786A" w14:textId="4FCA505D" w:rsidR="00673945" w:rsidRPr="000E5BED" w:rsidRDefault="00673945" w:rsidP="00673945">
      <w:pPr>
        <w:pStyle w:val="NormalHanging12a"/>
      </w:pPr>
      <w:r w:rsidRPr="000E5BED">
        <w:t>–</w:t>
      </w:r>
      <w:r w:rsidRPr="000E5BED">
        <w:tab/>
        <w:t>Visto el suplicatorio de suspensión de la inmunidad de Grzegorz Braun, recibido mediante carta de 4 de septiembre de 2025 de la Fiscalía general de Polonia, por la que se transmitía el suplicatorio presentado por la sección de Cracovia del Instituto de la Memoria Nacional – Comisión para el Enjuiciamiento de Crímenes contra la Nación Polaca (</w:t>
      </w:r>
      <w:proofErr w:type="spellStart"/>
      <w:r w:rsidR="0052648A" w:rsidRPr="000E5BED">
        <w:t>Oddział</w:t>
      </w:r>
      <w:proofErr w:type="spellEnd"/>
      <w:r w:rsidR="0052648A" w:rsidRPr="000E5BED">
        <w:t xml:space="preserve"> </w:t>
      </w:r>
      <w:proofErr w:type="spellStart"/>
      <w:r w:rsidR="0052648A" w:rsidRPr="000E5BED">
        <w:t>Instytutu</w:t>
      </w:r>
      <w:proofErr w:type="spellEnd"/>
      <w:r w:rsidR="0052648A" w:rsidRPr="000E5BED">
        <w:t xml:space="preserve"> </w:t>
      </w:r>
      <w:proofErr w:type="spellStart"/>
      <w:r w:rsidR="0052648A" w:rsidRPr="000E5BED">
        <w:t>Pamięci</w:t>
      </w:r>
      <w:proofErr w:type="spellEnd"/>
      <w:r w:rsidR="0052648A" w:rsidRPr="000E5BED">
        <w:t xml:space="preserve"> </w:t>
      </w:r>
      <w:proofErr w:type="spellStart"/>
      <w:r w:rsidR="0052648A" w:rsidRPr="000E5BED">
        <w:t>Narodowej</w:t>
      </w:r>
      <w:proofErr w:type="spellEnd"/>
      <w:r w:rsidR="0052648A" w:rsidRPr="000E5BED">
        <w:t xml:space="preserve"> w </w:t>
      </w:r>
      <w:proofErr w:type="spellStart"/>
      <w:r w:rsidR="0052648A" w:rsidRPr="000E5BED">
        <w:t>Krakowie</w:t>
      </w:r>
      <w:proofErr w:type="spellEnd"/>
      <w:r w:rsidR="0052648A" w:rsidRPr="000E5BED">
        <w:t xml:space="preserve"> - </w:t>
      </w:r>
      <w:proofErr w:type="spellStart"/>
      <w:r w:rsidRPr="000E5BED">
        <w:t>Komisja</w:t>
      </w:r>
      <w:proofErr w:type="spellEnd"/>
      <w:r w:rsidRPr="000E5BED">
        <w:t xml:space="preserve"> </w:t>
      </w:r>
      <w:proofErr w:type="spellStart"/>
      <w:r w:rsidRPr="000E5BED">
        <w:t>Ścigania</w:t>
      </w:r>
      <w:proofErr w:type="spellEnd"/>
      <w:r w:rsidRPr="000E5BED">
        <w:t xml:space="preserve"> </w:t>
      </w:r>
      <w:proofErr w:type="spellStart"/>
      <w:r w:rsidRPr="000E5BED">
        <w:t>Zbrodni</w:t>
      </w:r>
      <w:proofErr w:type="spellEnd"/>
      <w:r w:rsidRPr="000E5BED">
        <w:t xml:space="preserve"> </w:t>
      </w:r>
      <w:proofErr w:type="spellStart"/>
      <w:r w:rsidRPr="000E5BED">
        <w:t>przeciwko</w:t>
      </w:r>
      <w:proofErr w:type="spellEnd"/>
      <w:r w:rsidRPr="000E5BED">
        <w:t xml:space="preserve"> </w:t>
      </w:r>
      <w:proofErr w:type="spellStart"/>
      <w:r w:rsidRPr="000E5BED">
        <w:t>Narodowi</w:t>
      </w:r>
      <w:proofErr w:type="spellEnd"/>
      <w:r w:rsidRPr="000E5BED">
        <w:t xml:space="preserve"> </w:t>
      </w:r>
      <w:proofErr w:type="spellStart"/>
      <w:r w:rsidRPr="000E5BED">
        <w:t>Polskiemu</w:t>
      </w:r>
      <w:proofErr w:type="spellEnd"/>
      <w:r w:rsidRPr="000E5BED">
        <w:t>) en relación con el procedimiento penal incoado contra él y comunicado al Pleno el 6 de octubre de 2025,</w:t>
      </w:r>
    </w:p>
    <w:p w14:paraId="2D72296A" w14:textId="77777777" w:rsidR="00673945" w:rsidRPr="000E5BED" w:rsidRDefault="00673945" w:rsidP="00673945">
      <w:pPr>
        <w:pStyle w:val="NormalHanging12a"/>
      </w:pPr>
      <w:r w:rsidRPr="000E5BED">
        <w:t>–</w:t>
      </w:r>
      <w:r w:rsidRPr="000E5BED">
        <w:tab/>
        <w:t>Visto que se considera que Grzegorz Braun ha renunciado a su derecho a ser oído de conformidad con el artículo 9, apartado 6, de su Reglamento interno,</w:t>
      </w:r>
    </w:p>
    <w:p w14:paraId="0FAB961C" w14:textId="77777777" w:rsidR="00673945" w:rsidRPr="000E5BED" w:rsidRDefault="00673945" w:rsidP="00673945">
      <w:pPr>
        <w:pStyle w:val="NormalHanging12a"/>
      </w:pPr>
      <w:r w:rsidRPr="000E5BED">
        <w:t>–</w:t>
      </w:r>
      <w:r w:rsidRPr="000E5BED">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44AA7867" w14:textId="77777777" w:rsidR="00673945" w:rsidRPr="000E5BED" w:rsidRDefault="00673945" w:rsidP="00673945">
      <w:pPr>
        <w:pStyle w:val="NormalHanging12a"/>
      </w:pPr>
      <w:r w:rsidRPr="000E5BED">
        <w:t>–</w:t>
      </w:r>
      <w:r w:rsidRPr="000E5BED">
        <w:tab/>
        <w:t>Vistas las sentencias del Tribunal de Justicia de la Unión Europea de 21 de octubre de 2008, 19 de marzo de 2010, 6 de septiembre de 2011, 17 de enero de 2013 y 19 de diciembre de 2019</w:t>
      </w:r>
      <w:r w:rsidRPr="000E5BED">
        <w:rPr>
          <w:vertAlign w:val="superscript"/>
        </w:rPr>
        <w:footnoteReference w:id="1"/>
      </w:r>
      <w:r w:rsidRPr="000E5BED">
        <w:t>,</w:t>
      </w:r>
    </w:p>
    <w:p w14:paraId="5AD9E527" w14:textId="77777777" w:rsidR="00673945" w:rsidRPr="000E5BED" w:rsidRDefault="00673945" w:rsidP="00673945">
      <w:pPr>
        <w:pStyle w:val="NormalHanging12a"/>
      </w:pPr>
      <w:r w:rsidRPr="000E5BED">
        <w:t>–</w:t>
      </w:r>
      <w:r w:rsidRPr="000E5BED">
        <w:tab/>
        <w:t>Visto el artículo 105, apartados 2 y 5, de la Constitución de la República de Polonia,</w:t>
      </w:r>
    </w:p>
    <w:p w14:paraId="7438EBEC" w14:textId="77777777" w:rsidR="00673945" w:rsidRPr="000E5BED" w:rsidRDefault="00673945" w:rsidP="00673945">
      <w:pPr>
        <w:pStyle w:val="NormalHanging12a"/>
      </w:pPr>
      <w:r w:rsidRPr="000E5BED">
        <w:t>–</w:t>
      </w:r>
      <w:r w:rsidRPr="000E5BED">
        <w:tab/>
        <w:t xml:space="preserve">Vistos el artículo 5, apartado 2, el artículo 6, apartado 1, y el artículo 9 de su </w:t>
      </w:r>
      <w:r w:rsidRPr="000E5BED">
        <w:lastRenderedPageBreak/>
        <w:t>Reglamento interno,</w:t>
      </w:r>
    </w:p>
    <w:p w14:paraId="46BFA602" w14:textId="4DC448FF" w:rsidR="00673945" w:rsidRPr="000E5BED" w:rsidRDefault="00673945" w:rsidP="00673945">
      <w:pPr>
        <w:pStyle w:val="NormalHanging12a"/>
      </w:pPr>
      <w:r w:rsidRPr="000E5BED">
        <w:t>–</w:t>
      </w:r>
      <w:r w:rsidRPr="000E5BED">
        <w:tab/>
        <w:t>Visto el informe de la Comisión de Asuntos Jurídicos (A10-007</w:t>
      </w:r>
      <w:r w:rsidR="004E1657">
        <w:t>6</w:t>
      </w:r>
      <w:r w:rsidRPr="000E5BED">
        <w:t>/2026),</w:t>
      </w:r>
    </w:p>
    <w:p w14:paraId="41507C82" w14:textId="305BA9B3" w:rsidR="00673945" w:rsidRPr="000E5BED" w:rsidRDefault="00673945" w:rsidP="00673945">
      <w:pPr>
        <w:pStyle w:val="NormalHanging12a"/>
      </w:pPr>
      <w:r w:rsidRPr="000E5BED">
        <w:t>A.</w:t>
      </w:r>
      <w:r w:rsidRPr="000E5BED">
        <w:tab/>
        <w:t>Considerando que, mediante carta de 4 de septiembre de 2025, la Fiscalía general de Polonia transmitió el suplicatorio, presentado por la sección de Cracovia del Instituto de la Memoria Nacional – Comisión para el Enjuiciamiento de Crímenes contra la Nación Polaca (</w:t>
      </w:r>
      <w:proofErr w:type="spellStart"/>
      <w:r w:rsidR="0052648A" w:rsidRPr="000E5BED">
        <w:t>Oddział</w:t>
      </w:r>
      <w:proofErr w:type="spellEnd"/>
      <w:r w:rsidR="0052648A" w:rsidRPr="000E5BED">
        <w:t xml:space="preserve"> </w:t>
      </w:r>
      <w:proofErr w:type="spellStart"/>
      <w:r w:rsidR="0052648A" w:rsidRPr="000E5BED">
        <w:t>Instytutu</w:t>
      </w:r>
      <w:proofErr w:type="spellEnd"/>
      <w:r w:rsidR="0052648A" w:rsidRPr="000E5BED">
        <w:t xml:space="preserve"> </w:t>
      </w:r>
      <w:proofErr w:type="spellStart"/>
      <w:r w:rsidR="0052648A" w:rsidRPr="000E5BED">
        <w:t>Pamięci</w:t>
      </w:r>
      <w:proofErr w:type="spellEnd"/>
      <w:r w:rsidR="0052648A" w:rsidRPr="000E5BED">
        <w:t xml:space="preserve"> </w:t>
      </w:r>
      <w:proofErr w:type="spellStart"/>
      <w:r w:rsidR="0052648A" w:rsidRPr="000E5BED">
        <w:t>Narodowej</w:t>
      </w:r>
      <w:proofErr w:type="spellEnd"/>
      <w:r w:rsidR="0052648A" w:rsidRPr="000E5BED">
        <w:t xml:space="preserve"> w </w:t>
      </w:r>
      <w:proofErr w:type="spellStart"/>
      <w:r w:rsidR="0052648A" w:rsidRPr="000E5BED">
        <w:t>Krakowie</w:t>
      </w:r>
      <w:proofErr w:type="spellEnd"/>
      <w:r w:rsidR="0052648A" w:rsidRPr="000E5BED">
        <w:t xml:space="preserve"> - </w:t>
      </w:r>
      <w:proofErr w:type="spellStart"/>
      <w:r w:rsidRPr="000E5BED">
        <w:t>Komisja</w:t>
      </w:r>
      <w:proofErr w:type="spellEnd"/>
      <w:r w:rsidRPr="000E5BED">
        <w:t xml:space="preserve"> </w:t>
      </w:r>
      <w:proofErr w:type="spellStart"/>
      <w:r w:rsidRPr="000E5BED">
        <w:t>Ścigania</w:t>
      </w:r>
      <w:proofErr w:type="spellEnd"/>
      <w:r w:rsidRPr="000E5BED">
        <w:t xml:space="preserve"> </w:t>
      </w:r>
      <w:proofErr w:type="spellStart"/>
      <w:r w:rsidRPr="000E5BED">
        <w:t>Zbrodni</w:t>
      </w:r>
      <w:proofErr w:type="spellEnd"/>
      <w:r w:rsidRPr="000E5BED">
        <w:t xml:space="preserve"> </w:t>
      </w:r>
      <w:proofErr w:type="spellStart"/>
      <w:r w:rsidRPr="000E5BED">
        <w:t>przeciwko</w:t>
      </w:r>
      <w:proofErr w:type="spellEnd"/>
      <w:r w:rsidRPr="000E5BED">
        <w:t xml:space="preserve"> </w:t>
      </w:r>
      <w:proofErr w:type="spellStart"/>
      <w:r w:rsidRPr="000E5BED">
        <w:t>Narodowi</w:t>
      </w:r>
      <w:proofErr w:type="spellEnd"/>
      <w:r w:rsidRPr="000E5BED">
        <w:t xml:space="preserve"> </w:t>
      </w:r>
      <w:proofErr w:type="spellStart"/>
      <w:r w:rsidRPr="000E5BED">
        <w:t>Polskiemu</w:t>
      </w:r>
      <w:proofErr w:type="spellEnd"/>
      <w:r w:rsidRPr="000E5BED">
        <w:t xml:space="preserve">), de suspensión de la inmunidad de Grzegorz Braun, </w:t>
      </w:r>
      <w:bookmarkStart w:id="8" w:name="_Hlk222405545"/>
      <w:r w:rsidRPr="000E5BED">
        <w:t>diputado al Parlamento Europeo elegido en Polonia</w:t>
      </w:r>
      <w:bookmarkEnd w:id="8"/>
      <w:r w:rsidRPr="000E5BED">
        <w:t>, en relación con varios delitos presuntamente cometidos en 2025;</w:t>
      </w:r>
    </w:p>
    <w:p w14:paraId="47C562A4" w14:textId="77777777" w:rsidR="00673945" w:rsidRPr="000E5BED" w:rsidRDefault="00673945" w:rsidP="00673945">
      <w:pPr>
        <w:pStyle w:val="NormalHanging12a"/>
        <w:widowControl/>
      </w:pPr>
      <w:r w:rsidRPr="000E5BED">
        <w:t>B.</w:t>
      </w:r>
      <w:r w:rsidRPr="000E5BED">
        <w:tab/>
        <w:t xml:space="preserve">Considerando que, según el suplicatorio, se alega que el 10 de julio de 2025 en </w:t>
      </w:r>
      <w:proofErr w:type="spellStart"/>
      <w:r w:rsidRPr="000E5BED">
        <w:t>Jedwabne</w:t>
      </w:r>
      <w:proofErr w:type="spellEnd"/>
      <w:r w:rsidRPr="000E5BED">
        <w:t xml:space="preserve"> (Región de </w:t>
      </w:r>
      <w:proofErr w:type="spellStart"/>
      <w:r w:rsidRPr="000E5BED">
        <w:t>Podlasie</w:t>
      </w:r>
      <w:proofErr w:type="spellEnd"/>
      <w:r w:rsidRPr="000E5BED">
        <w:t>), durante una entrevista radiofónica, Grzegorz Braun negó, públicamente y en contra de los hechos, los crímenes de genocidio cometidos entre 1941 y 1944 por agentes del Tercer Reich de Alemania en el campo de concentración y exterminio KL Auschwitz</w:t>
      </w:r>
      <w:r w:rsidRPr="000E5BED">
        <w:noBreakHyphen/>
        <w:t>Birkenau de Auschwitz; que la presunta acción constituye un delito en virtud del artículo 55 de la Ley relativa al Instituto de la Memoria Nacional – Comisión para el Enjuiciamiento de los Crímenes contra la Nación Polaca, de 18 de diciembre de 1998;</w:t>
      </w:r>
    </w:p>
    <w:p w14:paraId="7A65F821" w14:textId="77777777" w:rsidR="00673945" w:rsidRPr="000E5BED" w:rsidRDefault="00673945" w:rsidP="00673945">
      <w:pPr>
        <w:pStyle w:val="NormalHanging12a"/>
      </w:pPr>
      <w:r w:rsidRPr="000E5BED">
        <w:t>C.</w:t>
      </w:r>
      <w:r w:rsidRPr="000E5BED">
        <w:tab/>
        <w:t>Considerando que, según el suplicatorio, se alega que, el 14 de julio de 2025, en una entrevista de un pódcast que tuvo lugar en Varsovia, Grzegorz Braun negó, públicamente y en contra de los hechos, los crímenes de genocidio cometidos entre 1941 y 1944 por agentes del Tercer Reich de Alemania en el campo de concentración y exterminio KL Auschwitz</w:t>
      </w:r>
      <w:r w:rsidRPr="000E5BED">
        <w:noBreakHyphen/>
        <w:t>Birkenau de Auschwitz; considerando que la presunta acción constituye un delito en virtud del artículo 55 de la Ley relativa al Instituto de la Memoria Nacional – Comisión para el Enjuiciamiento de los Crímenes contra la Nación Polaca, de 18 de diciembre de 1998;</w:t>
      </w:r>
    </w:p>
    <w:p w14:paraId="34ECFFED" w14:textId="77777777" w:rsidR="00673945" w:rsidRPr="000E5BED" w:rsidRDefault="00673945" w:rsidP="00673945">
      <w:pPr>
        <w:pStyle w:val="NormalHanging12a"/>
      </w:pPr>
      <w:r w:rsidRPr="000E5BED">
        <w:t>D.</w:t>
      </w:r>
      <w:r w:rsidRPr="000E5BED">
        <w:tab/>
        <w:t>Considerando que Grzegorz Braun fue elegido diputado al Parlamento Europeo en las elecciones europeas de junio de 2024 y que, por tanto, era diputado al Parlamento Europeo en el momento de la presunta comisión de los delitos;</w:t>
      </w:r>
    </w:p>
    <w:p w14:paraId="0322FD58" w14:textId="77777777" w:rsidR="00673945" w:rsidRPr="000E5BED" w:rsidRDefault="00673945" w:rsidP="00673945">
      <w:pPr>
        <w:pStyle w:val="NormalHanging12a"/>
      </w:pPr>
      <w:r w:rsidRPr="000E5BED">
        <w:t>E.</w:t>
      </w:r>
      <w:r w:rsidRPr="000E5BED">
        <w:tab/>
        <w:t>Considerando que los delitos presuntamente cometidos no constituyen una opinión expresada o un voto emitido por Grzegorz Braun en el ejercicio de sus funciones, en el sentido del artículo 8 del Protocolo n.º 7 sobre los privilegios y las inmunidades de la Unión Europea, y que el consiguiente suplicatorio de suspensión de la inmunidad no está relacionado con ese tipo de opiniones o votos;</w:t>
      </w:r>
    </w:p>
    <w:p w14:paraId="705DCF10" w14:textId="77777777" w:rsidR="00673945" w:rsidRPr="000E5BED" w:rsidRDefault="00673945" w:rsidP="00673945">
      <w:pPr>
        <w:pStyle w:val="NormalHanging12a"/>
      </w:pPr>
      <w:r w:rsidRPr="000E5BED">
        <w:t>F.</w:t>
      </w:r>
      <w:r w:rsidRPr="000E5BED">
        <w:tab/>
        <w:t>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país;</w:t>
      </w:r>
    </w:p>
    <w:p w14:paraId="59DD9E90" w14:textId="16C2647D" w:rsidR="00673945" w:rsidRPr="000E5BED" w:rsidRDefault="00673945" w:rsidP="00673945">
      <w:pPr>
        <w:pStyle w:val="NormalHanging12a"/>
      </w:pPr>
      <w:r w:rsidRPr="000E5BED">
        <w:t>G.</w:t>
      </w:r>
      <w:r w:rsidRPr="000E5BED">
        <w:tab/>
        <w:t xml:space="preserve">Considerando que, de conformidad con el artículo 105, apartados 2 y 5, de la Constitución </w:t>
      </w:r>
      <w:r w:rsidR="0052648A" w:rsidRPr="000E5BED">
        <w:t>de la República de P</w:t>
      </w:r>
      <w:r w:rsidRPr="000E5BED">
        <w:t>ol</w:t>
      </w:r>
      <w:r w:rsidR="0052648A" w:rsidRPr="000E5BED">
        <w:t>oni</w:t>
      </w:r>
      <w:r w:rsidRPr="000E5BED">
        <w:t xml:space="preserve">a, desde el día en que se anuncian los resultados de las elecciones hasta la fecha de expiración de su mandato no podrá exigirse responsabilidad penal a un diputado sin el consentimiento previo del </w:t>
      </w:r>
      <w:proofErr w:type="spellStart"/>
      <w:r w:rsidRPr="000E5BED">
        <w:t>Sejm</w:t>
      </w:r>
      <w:proofErr w:type="spellEnd"/>
      <w:r w:rsidRPr="000E5BED">
        <w:t xml:space="preserve"> ni podrá detenerse o privarse de libertad a un diputado sin el consentimiento de dicha cámara, </w:t>
      </w:r>
      <w:r w:rsidRPr="000E5BED">
        <w:lastRenderedPageBreak/>
        <w:t>excepto en caso de flagrante delito o cuando la privación de libertad sea necesaria para garantizar la correcta tramitación del procedimiento;</w:t>
      </w:r>
    </w:p>
    <w:p w14:paraId="2618CD8F" w14:textId="77777777" w:rsidR="00673945" w:rsidRPr="000E5BED" w:rsidRDefault="00673945" w:rsidP="00673945">
      <w:pPr>
        <w:pStyle w:val="NormalHanging12a"/>
      </w:pPr>
      <w:r w:rsidRPr="000E5BED">
        <w:t>H.</w:t>
      </w:r>
      <w:r w:rsidRPr="000E5BED">
        <w:tab/>
        <w:t xml:space="preserve">Considerando que el objetivo de la inmunidad parlamentaria </w:t>
      </w:r>
      <w:bookmarkStart w:id="9" w:name="_Hlk222405989"/>
      <w:r w:rsidRPr="000E5BED">
        <w:t>recogida en el Protocolo n.º 7 sobre los privilegios y las inmunidades de la Unión Europea</w:t>
      </w:r>
      <w:bookmarkEnd w:id="9"/>
      <w:r w:rsidRPr="000E5BED">
        <w:t xml:space="preserve"> consiste en proteger al Parlamento y a sus diputados frente a los procedimientos judiciales relacionados con las actividades desempeñadas en el ejercicio de sus obligaciones parlamentarias y que no pueden desvincularse de estas;</w:t>
      </w:r>
    </w:p>
    <w:p w14:paraId="2092B939" w14:textId="77777777" w:rsidR="00673945" w:rsidRPr="000E5BED" w:rsidRDefault="00673945" w:rsidP="00673945">
      <w:pPr>
        <w:pStyle w:val="NormalHanging12a"/>
      </w:pPr>
      <w:r w:rsidRPr="000E5BED">
        <w:t>I.</w:t>
      </w:r>
      <w:r w:rsidRPr="000E5BED">
        <w:tab/>
        <w:t>Considerando que, de conformidad con el artículo 5, apartado 2, de su Reglamento interno, la inmunidad parlamentaria no es un privilegio personal del diputado, sino una garantía de independencia del Parlamento en su conjunto y de sus diputados;</w:t>
      </w:r>
    </w:p>
    <w:p w14:paraId="37D8841E" w14:textId="77777777" w:rsidR="00673945" w:rsidRPr="000E5BED" w:rsidRDefault="00673945" w:rsidP="00673945">
      <w:pPr>
        <w:pStyle w:val="NormalHanging12a"/>
      </w:pPr>
      <w:r w:rsidRPr="000E5BED">
        <w:t>J.</w:t>
      </w:r>
      <w:r w:rsidRPr="000E5BED">
        <w:tab/>
        <w:t xml:space="preserve">Considerando que, en este caso, el Parlamento no ha podido determinar la existencia de </w:t>
      </w:r>
      <w:proofErr w:type="spellStart"/>
      <w:r w:rsidRPr="000E5BED">
        <w:rPr>
          <w:i/>
        </w:rPr>
        <w:t>fumus</w:t>
      </w:r>
      <w:proofErr w:type="spellEnd"/>
      <w:r w:rsidRPr="000E5BED">
        <w:rPr>
          <w:i/>
        </w:rPr>
        <w:t xml:space="preserve"> </w:t>
      </w:r>
      <w:proofErr w:type="spellStart"/>
      <w:r w:rsidRPr="000E5BED">
        <w:rPr>
          <w:i/>
        </w:rPr>
        <w:t>persecutionis</w:t>
      </w:r>
      <w:proofErr w:type="spellEnd"/>
      <w:r w:rsidRPr="000E5BED">
        <w:t>, a saber, de elementos de hecho que indiquen que la actuación judicial en cuestión se inició con la intención de causar un perjuicio a la actividad política de Grzegorz Braun en su calidad de diputado al Parlamento Europeo;</w:t>
      </w:r>
    </w:p>
    <w:p w14:paraId="08514686" w14:textId="77777777" w:rsidR="00673945" w:rsidRPr="000E5BED" w:rsidRDefault="00673945" w:rsidP="00673945">
      <w:pPr>
        <w:pStyle w:val="NormalHanging12a"/>
      </w:pPr>
      <w:r w:rsidRPr="000E5BED">
        <w:t>K.</w:t>
      </w:r>
      <w:r w:rsidRPr="000E5BED">
        <w:tab/>
        <w:t>Considerando, por un lado, que el Parlamento no puede equipararse a un órgano jurisdiccional y, por otro, que el diputado, en el contexto de un procedimiento de suspensión de la inmunidad, no puede considerarse un acusado</w:t>
      </w:r>
      <w:r w:rsidRPr="000E5BED">
        <w:rPr>
          <w:vertAlign w:val="superscript"/>
        </w:rPr>
        <w:footnoteReference w:id="2"/>
      </w:r>
      <w:r w:rsidRPr="000E5BED">
        <w:t>;</w:t>
      </w:r>
    </w:p>
    <w:p w14:paraId="310B2B11" w14:textId="77777777" w:rsidR="00673945" w:rsidRPr="000E5BED" w:rsidRDefault="00673945" w:rsidP="00673945">
      <w:pPr>
        <w:pStyle w:val="NormalHanging12a"/>
      </w:pPr>
      <w:r w:rsidRPr="000E5BED">
        <w:t>1.</w:t>
      </w:r>
      <w:r w:rsidRPr="000E5BED">
        <w:tab/>
        <w:t>Decide suspender la inmunidad parlamentaria de Grzegorz Braun;</w:t>
      </w:r>
    </w:p>
    <w:p w14:paraId="14800159" w14:textId="76F7DACD" w:rsidR="00194B60" w:rsidRPr="000E5BED" w:rsidRDefault="00673945" w:rsidP="00194B60">
      <w:pPr>
        <w:pStyle w:val="NormalHanging12a"/>
      </w:pPr>
      <w:r w:rsidRPr="000E5BED">
        <w:t>2.</w:t>
      </w:r>
      <w:r w:rsidRPr="000E5BED">
        <w:tab/>
        <w:t>Encarga a su presidenta que transmita inmediatamente la presente Decisión y el informe de la comisión competente a la autoridad competente de la República de Polonia y a Grzegorz Braun.</w:t>
      </w:r>
    </w:p>
    <w:p w14:paraId="1A7E1153" w14:textId="21B33D7E" w:rsidR="00E365E1" w:rsidRPr="000E5BED" w:rsidRDefault="00E365E1" w:rsidP="00673945"/>
    <w:sectPr w:rsidR="00E365E1" w:rsidRPr="000E5BED" w:rsidSect="00194B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D3B77" w14:textId="77777777" w:rsidR="00B326BB" w:rsidRPr="00194B60" w:rsidRDefault="00B326BB">
      <w:r w:rsidRPr="00194B60">
        <w:separator/>
      </w:r>
    </w:p>
  </w:endnote>
  <w:endnote w:type="continuationSeparator" w:id="0">
    <w:p w14:paraId="392D7CC7" w14:textId="77777777" w:rsidR="00B326BB" w:rsidRPr="00194B60" w:rsidRDefault="00B326BB">
      <w:r w:rsidRPr="00194B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6F5D3" w14:textId="77777777" w:rsidR="00064002" w:rsidRPr="00194B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B5C8" w14:textId="77777777" w:rsidR="00064002" w:rsidRPr="00194B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5AC9B" w14:textId="77777777" w:rsidR="00064002" w:rsidRPr="00194B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2FFD9" w14:textId="77777777" w:rsidR="00B326BB" w:rsidRPr="00194B60" w:rsidRDefault="00B326BB">
      <w:r w:rsidRPr="00194B60">
        <w:separator/>
      </w:r>
    </w:p>
  </w:footnote>
  <w:footnote w:type="continuationSeparator" w:id="0">
    <w:p w14:paraId="61BD505F" w14:textId="77777777" w:rsidR="00B326BB" w:rsidRPr="00194B60" w:rsidRDefault="00B326BB">
      <w:r w:rsidRPr="00194B60">
        <w:continuationSeparator/>
      </w:r>
    </w:p>
  </w:footnote>
  <w:footnote w:id="1">
    <w:p w14:paraId="288E2C60" w14:textId="042063CE" w:rsidR="00673945" w:rsidRPr="00194B60" w:rsidRDefault="00673945" w:rsidP="00194B60">
      <w:pPr>
        <w:pStyle w:val="FootnoteText"/>
        <w:ind w:left="567" w:hanging="567"/>
        <w:rPr>
          <w:sz w:val="24"/>
          <w:vertAlign w:val="superscript"/>
          <w:lang w:val="es-ES_tradnl"/>
        </w:rPr>
      </w:pPr>
      <w:r w:rsidRPr="00194B60">
        <w:rPr>
          <w:rStyle w:val="FootnoteReference"/>
          <w:sz w:val="24"/>
          <w:lang w:val="es-ES_tradnl"/>
        </w:rPr>
        <w:footnoteRef/>
      </w:r>
      <w:r w:rsidR="00194B60" w:rsidRPr="00194B60">
        <w:rPr>
          <w:sz w:val="24"/>
          <w:lang w:val="es-ES_tradnl"/>
        </w:rPr>
        <w:t xml:space="preserve"> </w:t>
      </w:r>
      <w:r w:rsidR="00194B60" w:rsidRPr="00194B60">
        <w:rPr>
          <w:sz w:val="24"/>
          <w:lang w:val="es-ES_tradnl"/>
        </w:rPr>
        <w:tab/>
      </w:r>
      <w:r w:rsidRPr="00194B60">
        <w:rPr>
          <w:sz w:val="24"/>
          <w:lang w:val="es-ES_tradnl"/>
        </w:rPr>
        <w:t>Sentencia del Tribunal de Justicia de 21 de octubre de 2008</w:t>
      </w:r>
      <w:r w:rsidRPr="00B81029">
        <w:rPr>
          <w:i/>
          <w:iCs/>
          <w:sz w:val="24"/>
          <w:lang w:val="es-ES_tradnl"/>
        </w:rPr>
        <w:t xml:space="preserve">, </w:t>
      </w:r>
      <w:r w:rsidRPr="00D92193">
        <w:rPr>
          <w:sz w:val="24"/>
          <w:lang w:val="es-ES_tradnl"/>
        </w:rPr>
        <w:t>Marra/De Gregorio y Clemente</w:t>
      </w:r>
      <w:r w:rsidRPr="00194B60">
        <w:rPr>
          <w:sz w:val="24"/>
          <w:lang w:val="es-ES_tradnl"/>
        </w:rPr>
        <w:t>, C</w:t>
      </w:r>
      <w:r w:rsidRPr="00194B60">
        <w:rPr>
          <w:sz w:val="24"/>
          <w:lang w:val="es-ES_tradnl"/>
        </w:rPr>
        <w:noBreakHyphen/>
        <w:t>200/07 y C</w:t>
      </w:r>
      <w:r w:rsidRPr="00194B60">
        <w:rPr>
          <w:sz w:val="24"/>
          <w:lang w:val="es-ES_tradnl"/>
        </w:rPr>
        <w:noBreakHyphen/>
        <w:t xml:space="preserve">201/07, ECLI:EU:C:2008:579; sentencia del Tribunal General de 19 de marzo de 2010, </w:t>
      </w:r>
      <w:proofErr w:type="spellStart"/>
      <w:r w:rsidRPr="00D92193">
        <w:rPr>
          <w:sz w:val="24"/>
          <w:lang w:val="es-ES_tradnl"/>
        </w:rPr>
        <w:t>Gollnisch</w:t>
      </w:r>
      <w:proofErr w:type="spellEnd"/>
      <w:r w:rsidRPr="00D92193">
        <w:rPr>
          <w:sz w:val="24"/>
          <w:lang w:val="es-ES_tradnl"/>
        </w:rPr>
        <w:t>/Parlamento</w:t>
      </w:r>
      <w:r w:rsidRPr="00194B60">
        <w:rPr>
          <w:sz w:val="24"/>
          <w:lang w:val="es-ES_tradnl"/>
        </w:rPr>
        <w:t>, T</w:t>
      </w:r>
      <w:r w:rsidRPr="00194B60">
        <w:rPr>
          <w:sz w:val="24"/>
          <w:lang w:val="es-ES_tradnl"/>
        </w:rPr>
        <w:noBreakHyphen/>
        <w:t xml:space="preserve">42/06, </w:t>
      </w:r>
      <w:proofErr w:type="spellStart"/>
      <w:r w:rsidRPr="00194B60">
        <w:rPr>
          <w:sz w:val="24"/>
          <w:lang w:val="es-ES_tradnl"/>
        </w:rPr>
        <w:t>ECLI:EU:T:2010:102</w:t>
      </w:r>
      <w:proofErr w:type="spellEnd"/>
      <w:r w:rsidRPr="00194B60">
        <w:rPr>
          <w:sz w:val="24"/>
          <w:lang w:val="es-ES_tradnl"/>
        </w:rPr>
        <w:t>; sentencia del Tribunal de Justicia de 6 de septiembre de 2011, Patriciello, C</w:t>
      </w:r>
      <w:r w:rsidRPr="00194B60">
        <w:rPr>
          <w:sz w:val="24"/>
          <w:lang w:val="es-ES_tradnl"/>
        </w:rPr>
        <w:noBreakHyphen/>
        <w:t xml:space="preserve">163/10, </w:t>
      </w:r>
      <w:proofErr w:type="spellStart"/>
      <w:r w:rsidRPr="00194B60">
        <w:rPr>
          <w:sz w:val="24"/>
          <w:lang w:val="es-ES_tradnl"/>
        </w:rPr>
        <w:t>ECLI</w:t>
      </w:r>
      <w:proofErr w:type="spellEnd"/>
      <w:r w:rsidRPr="00194B60">
        <w:rPr>
          <w:sz w:val="24"/>
          <w:lang w:val="es-ES_tradnl"/>
        </w:rPr>
        <w:t xml:space="preserve">: </w:t>
      </w:r>
      <w:proofErr w:type="spellStart"/>
      <w:r w:rsidRPr="00194B60">
        <w:rPr>
          <w:sz w:val="24"/>
          <w:lang w:val="es-ES_tradnl"/>
        </w:rPr>
        <w:t>EU:C:2011:543</w:t>
      </w:r>
      <w:proofErr w:type="spellEnd"/>
      <w:r w:rsidRPr="00194B60">
        <w:rPr>
          <w:sz w:val="24"/>
          <w:lang w:val="es-ES_tradnl"/>
        </w:rPr>
        <w:t xml:space="preserve">; sentencia del Tribunal General de 17 de enero de 2013, </w:t>
      </w:r>
      <w:proofErr w:type="spellStart"/>
      <w:r w:rsidRPr="00D92193">
        <w:rPr>
          <w:sz w:val="24"/>
          <w:lang w:val="es-ES_tradnl"/>
        </w:rPr>
        <w:t>Gollnisch</w:t>
      </w:r>
      <w:proofErr w:type="spellEnd"/>
      <w:r w:rsidRPr="00D92193">
        <w:rPr>
          <w:sz w:val="24"/>
          <w:lang w:val="es-ES_tradnl"/>
        </w:rPr>
        <w:t>/Parlamento</w:t>
      </w:r>
      <w:r w:rsidRPr="00194B60">
        <w:rPr>
          <w:sz w:val="24"/>
          <w:lang w:val="es-ES_tradnl"/>
        </w:rPr>
        <w:t>, T</w:t>
      </w:r>
      <w:r w:rsidRPr="00194B60">
        <w:rPr>
          <w:sz w:val="24"/>
          <w:lang w:val="es-ES_tradnl"/>
        </w:rPr>
        <w:noBreakHyphen/>
        <w:t>346/11 y T</w:t>
      </w:r>
      <w:r w:rsidRPr="00194B60">
        <w:rPr>
          <w:sz w:val="24"/>
          <w:lang w:val="es-ES_tradnl"/>
        </w:rPr>
        <w:noBreakHyphen/>
        <w:t xml:space="preserve">347/11, ECLI:EU:T:2013:23; sentencia del Tribunal de Justicia de 19 de diciembre de 2019, </w:t>
      </w:r>
      <w:r w:rsidRPr="00D92193">
        <w:rPr>
          <w:sz w:val="24"/>
          <w:lang w:val="es-ES_tradnl"/>
        </w:rPr>
        <w:t xml:space="preserve">Junqueras </w:t>
      </w:r>
      <w:proofErr w:type="spellStart"/>
      <w:r w:rsidRPr="00D92193">
        <w:rPr>
          <w:sz w:val="24"/>
          <w:lang w:val="es-ES_tradnl"/>
        </w:rPr>
        <w:t>Vies</w:t>
      </w:r>
      <w:proofErr w:type="spellEnd"/>
      <w:r w:rsidRPr="00D92193">
        <w:rPr>
          <w:sz w:val="24"/>
          <w:lang w:val="es-ES_tradnl"/>
        </w:rPr>
        <w:t>,</w:t>
      </w:r>
      <w:r w:rsidRPr="00194B60">
        <w:rPr>
          <w:sz w:val="24"/>
          <w:lang w:val="es-ES_tradnl"/>
        </w:rPr>
        <w:t xml:space="preserve"> C</w:t>
      </w:r>
      <w:r w:rsidRPr="00194B60">
        <w:rPr>
          <w:sz w:val="24"/>
          <w:lang w:val="es-ES_tradnl"/>
        </w:rPr>
        <w:noBreakHyphen/>
        <w:t xml:space="preserve">502/19, </w:t>
      </w:r>
      <w:proofErr w:type="spellStart"/>
      <w:r w:rsidRPr="00194B60">
        <w:rPr>
          <w:sz w:val="24"/>
          <w:lang w:val="es-ES_tradnl"/>
        </w:rPr>
        <w:t>ECLI:EU:C:2019:1115</w:t>
      </w:r>
      <w:proofErr w:type="spellEnd"/>
      <w:r w:rsidRPr="00194B60">
        <w:rPr>
          <w:sz w:val="24"/>
          <w:lang w:val="es-ES_tradnl"/>
        </w:rPr>
        <w:t>.</w:t>
      </w:r>
    </w:p>
    <w:p w14:paraId="71491ABD" w14:textId="69A1967F" w:rsidR="00673945" w:rsidRPr="00194B60" w:rsidRDefault="00194B60" w:rsidP="00194B60">
      <w:pPr>
        <w:pStyle w:val="FootnoteText"/>
        <w:ind w:left="567" w:hanging="567"/>
        <w:rPr>
          <w:sz w:val="24"/>
          <w:lang w:val="es-ES_tradnl"/>
        </w:rPr>
      </w:pPr>
      <w:r w:rsidRPr="00194B60">
        <w:rPr>
          <w:sz w:val="24"/>
          <w:lang w:val="es-ES_tradnl"/>
        </w:rPr>
        <w:t xml:space="preserve"> </w:t>
      </w:r>
      <w:r w:rsidRPr="00194B60">
        <w:rPr>
          <w:sz w:val="24"/>
          <w:lang w:val="es-ES_tradnl"/>
        </w:rPr>
        <w:tab/>
      </w:r>
    </w:p>
  </w:footnote>
  <w:footnote w:id="2">
    <w:p w14:paraId="1C93C9E3" w14:textId="5B223971" w:rsidR="00673945" w:rsidRPr="00194B60" w:rsidRDefault="00673945" w:rsidP="00194B60">
      <w:pPr>
        <w:pStyle w:val="FootnoteText"/>
        <w:ind w:left="567" w:hanging="567"/>
        <w:rPr>
          <w:sz w:val="24"/>
          <w:lang w:val="es-ES_tradnl"/>
        </w:rPr>
      </w:pPr>
      <w:r w:rsidRPr="00194B60">
        <w:rPr>
          <w:rStyle w:val="FootnoteReference"/>
          <w:sz w:val="24"/>
          <w:lang w:val="es-ES_tradnl"/>
        </w:rPr>
        <w:footnoteRef/>
      </w:r>
      <w:r w:rsidR="00194B60" w:rsidRPr="00194B60">
        <w:rPr>
          <w:sz w:val="24"/>
          <w:lang w:val="es-ES_tradnl"/>
        </w:rPr>
        <w:t xml:space="preserve"> </w:t>
      </w:r>
      <w:r w:rsidR="00194B60" w:rsidRPr="00194B60">
        <w:rPr>
          <w:sz w:val="24"/>
          <w:lang w:val="es-ES_tradnl"/>
        </w:rPr>
        <w:tab/>
      </w:r>
      <w:r w:rsidRPr="00194B60">
        <w:rPr>
          <w:sz w:val="24"/>
          <w:lang w:val="es-ES_tradnl"/>
        </w:rPr>
        <w:t xml:space="preserve">Sentencia del Tribunal General de 30 de abril de 2019, </w:t>
      </w:r>
      <w:proofErr w:type="spellStart"/>
      <w:r w:rsidRPr="00B81029">
        <w:rPr>
          <w:i/>
          <w:iCs/>
          <w:sz w:val="24"/>
          <w:lang w:val="es-ES_tradnl"/>
        </w:rPr>
        <w:t>Briois</w:t>
      </w:r>
      <w:proofErr w:type="spellEnd"/>
      <w:r w:rsidRPr="00B81029">
        <w:rPr>
          <w:i/>
          <w:iCs/>
          <w:sz w:val="24"/>
          <w:lang w:val="es-ES_tradnl"/>
        </w:rPr>
        <w:t>/Parlamento</w:t>
      </w:r>
      <w:r w:rsidRPr="00194B60">
        <w:rPr>
          <w:sz w:val="24"/>
          <w:lang w:val="es-ES_tradnl"/>
        </w:rPr>
        <w:t>, T</w:t>
      </w:r>
      <w:r w:rsidRPr="00194B60">
        <w:rPr>
          <w:sz w:val="24"/>
          <w:lang w:val="es-ES_tradnl"/>
        </w:rPr>
        <w:noBreakHyphen/>
        <w:t xml:space="preserve">214/18, </w:t>
      </w:r>
      <w:proofErr w:type="spellStart"/>
      <w:r w:rsidRPr="00194B60">
        <w:rPr>
          <w:sz w:val="24"/>
          <w:lang w:val="es-ES_tradnl"/>
        </w:rPr>
        <w:t>ECLI:EU:T:2019:266</w:t>
      </w:r>
      <w:proofErr w:type="spellEnd"/>
      <w:r w:rsidRPr="00194B60">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E62AB" w14:textId="77777777" w:rsidR="00064002" w:rsidRPr="00194B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BD341" w14:textId="77777777" w:rsidR="00064002" w:rsidRPr="00194B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5B1CF" w14:textId="77777777" w:rsidR="00064002" w:rsidRPr="00194B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3185778">
    <w:abstractNumId w:val="9"/>
  </w:num>
  <w:num w:numId="2" w16cid:durableId="2043094287">
    <w:abstractNumId w:val="9"/>
  </w:num>
  <w:num w:numId="3" w16cid:durableId="1884293498">
    <w:abstractNumId w:val="7"/>
  </w:num>
  <w:num w:numId="4" w16cid:durableId="1760172876">
    <w:abstractNumId w:val="7"/>
  </w:num>
  <w:num w:numId="5" w16cid:durableId="1802576430">
    <w:abstractNumId w:val="6"/>
  </w:num>
  <w:num w:numId="6" w16cid:durableId="109016931">
    <w:abstractNumId w:val="6"/>
  </w:num>
  <w:num w:numId="7" w16cid:durableId="1665818927">
    <w:abstractNumId w:val="5"/>
  </w:num>
  <w:num w:numId="8" w16cid:durableId="1991591090">
    <w:abstractNumId w:val="5"/>
  </w:num>
  <w:num w:numId="9" w16cid:durableId="2099668112">
    <w:abstractNumId w:val="4"/>
  </w:num>
  <w:num w:numId="10" w16cid:durableId="1622227497">
    <w:abstractNumId w:val="4"/>
  </w:num>
  <w:num w:numId="11" w16cid:durableId="1999192396">
    <w:abstractNumId w:val="8"/>
  </w:num>
  <w:num w:numId="12" w16cid:durableId="1229269267">
    <w:abstractNumId w:val="8"/>
  </w:num>
  <w:num w:numId="13" w16cid:durableId="1577856968">
    <w:abstractNumId w:val="3"/>
  </w:num>
  <w:num w:numId="14" w16cid:durableId="903024865">
    <w:abstractNumId w:val="3"/>
  </w:num>
  <w:num w:numId="15" w16cid:durableId="1279215942">
    <w:abstractNumId w:val="2"/>
  </w:num>
  <w:num w:numId="16" w16cid:durableId="353265075">
    <w:abstractNumId w:val="2"/>
  </w:num>
  <w:num w:numId="17" w16cid:durableId="1875383285">
    <w:abstractNumId w:val="1"/>
  </w:num>
  <w:num w:numId="18" w16cid:durableId="1139033678">
    <w:abstractNumId w:val="1"/>
  </w:num>
  <w:num w:numId="19" w16cid:durableId="572351848">
    <w:abstractNumId w:val="0"/>
  </w:num>
  <w:num w:numId="20" w16cid:durableId="413743526">
    <w:abstractNumId w:val="0"/>
  </w:num>
  <w:num w:numId="21" w16cid:durableId="2112780726">
    <w:abstractNumId w:val="9"/>
  </w:num>
  <w:num w:numId="22" w16cid:durableId="2120173324">
    <w:abstractNumId w:val="7"/>
  </w:num>
  <w:num w:numId="23" w16cid:durableId="713386039">
    <w:abstractNumId w:val="6"/>
  </w:num>
  <w:num w:numId="24" w16cid:durableId="1794980785">
    <w:abstractNumId w:val="5"/>
  </w:num>
  <w:num w:numId="25" w16cid:durableId="1194074537">
    <w:abstractNumId w:val="4"/>
  </w:num>
  <w:num w:numId="26" w16cid:durableId="1663660897">
    <w:abstractNumId w:val="8"/>
  </w:num>
  <w:num w:numId="27" w16cid:durableId="1848397344">
    <w:abstractNumId w:val="3"/>
  </w:num>
  <w:num w:numId="28" w16cid:durableId="1819763156">
    <w:abstractNumId w:val="2"/>
  </w:num>
  <w:num w:numId="29" w16cid:durableId="1789356228">
    <w:abstractNumId w:val="1"/>
  </w:num>
  <w:num w:numId="30" w16cid:durableId="1970896609">
    <w:abstractNumId w:val="0"/>
  </w:num>
  <w:num w:numId="31" w16cid:durableId="1281571734">
    <w:abstractNumId w:val="9"/>
  </w:num>
  <w:num w:numId="32" w16cid:durableId="930964824">
    <w:abstractNumId w:val="7"/>
  </w:num>
  <w:num w:numId="33" w16cid:durableId="872810529">
    <w:abstractNumId w:val="6"/>
  </w:num>
  <w:num w:numId="34" w16cid:durableId="1051347951">
    <w:abstractNumId w:val="5"/>
  </w:num>
  <w:num w:numId="35" w16cid:durableId="1646161188">
    <w:abstractNumId w:val="4"/>
  </w:num>
  <w:num w:numId="36" w16cid:durableId="1819955653">
    <w:abstractNumId w:val="8"/>
  </w:num>
  <w:num w:numId="37" w16cid:durableId="1516381326">
    <w:abstractNumId w:val="3"/>
  </w:num>
  <w:num w:numId="38" w16cid:durableId="1011374969">
    <w:abstractNumId w:val="2"/>
  </w:num>
  <w:num w:numId="39" w16cid:durableId="1086152131">
    <w:abstractNumId w:val="1"/>
  </w:num>
  <w:num w:numId="40" w16cid:durableId="54665550">
    <w:abstractNumId w:val="0"/>
  </w:num>
  <w:num w:numId="41" w16cid:durableId="1853644884">
    <w:abstractNumId w:val="10"/>
  </w:num>
  <w:num w:numId="42" w16cid:durableId="416168729">
    <w:abstractNumId w:val="10"/>
  </w:num>
  <w:num w:numId="43" w16cid:durableId="552154246">
    <w:abstractNumId w:val="10"/>
  </w:num>
  <w:num w:numId="44" w16cid:durableId="16140950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6/2026"/>
    <w:docVar w:name="dvlangue" w:val="ES"/>
    <w:docVar w:name="dvnumam" w:val="0"/>
    <w:docVar w:name="dvpe" w:val="784.379"/>
    <w:docVar w:name="dvrapporteur" w:val="Ponente: "/>
    <w:docVar w:name="dvtitre" w:val="Decisión del Parlamento Europeo, de 26 de marzo de 2026, sobre el suplicatorio de suspensión de la inmunidad de Grzegorz Braun(2025/2192(IMM))"/>
  </w:docVars>
  <w:rsids>
    <w:rsidRoot w:val="00B326BB"/>
    <w:rsid w:val="00002272"/>
    <w:rsid w:val="00064002"/>
    <w:rsid w:val="000677B9"/>
    <w:rsid w:val="000831BA"/>
    <w:rsid w:val="000A42CC"/>
    <w:rsid w:val="000E5BED"/>
    <w:rsid w:val="000E7DD9"/>
    <w:rsid w:val="000F62B4"/>
    <w:rsid w:val="0010095E"/>
    <w:rsid w:val="00125B37"/>
    <w:rsid w:val="00187494"/>
    <w:rsid w:val="00194B60"/>
    <w:rsid w:val="001F32AE"/>
    <w:rsid w:val="002767FF"/>
    <w:rsid w:val="0029705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657"/>
    <w:rsid w:val="0050519A"/>
    <w:rsid w:val="005072A1"/>
    <w:rsid w:val="00514517"/>
    <w:rsid w:val="0052648A"/>
    <w:rsid w:val="00545827"/>
    <w:rsid w:val="00560270"/>
    <w:rsid w:val="005C2568"/>
    <w:rsid w:val="005F1B17"/>
    <w:rsid w:val="006037C0"/>
    <w:rsid w:val="00603825"/>
    <w:rsid w:val="006631B6"/>
    <w:rsid w:val="00673945"/>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43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26BB"/>
    <w:rsid w:val="00B558F0"/>
    <w:rsid w:val="00B8102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19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ECFD7"/>
  <w15:chartTrackingRefBased/>
  <w15:docId w15:val="{FC397A96-F183-4093-B8E4-01D7CFB66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73945"/>
    <w:pPr>
      <w:spacing w:after="240"/>
      <w:ind w:left="567" w:hanging="567"/>
    </w:pPr>
  </w:style>
  <w:style w:type="paragraph" w:customStyle="1" w:styleId="EPComma">
    <w:name w:val="EPComma"/>
    <w:basedOn w:val="Normal"/>
    <w:rsid w:val="00673945"/>
    <w:pPr>
      <w:spacing w:before="480" w:after="240"/>
    </w:pPr>
  </w:style>
  <w:style w:type="character" w:styleId="CommentReference">
    <w:name w:val="annotation reference"/>
    <w:basedOn w:val="DefaultParagraphFont"/>
    <w:rsid w:val="0052648A"/>
    <w:rPr>
      <w:sz w:val="16"/>
      <w:szCs w:val="16"/>
    </w:rPr>
  </w:style>
  <w:style w:type="paragraph" w:styleId="CommentText">
    <w:name w:val="annotation text"/>
    <w:basedOn w:val="Normal"/>
    <w:link w:val="CommentTextChar"/>
    <w:rsid w:val="0052648A"/>
    <w:rPr>
      <w:sz w:val="20"/>
    </w:rPr>
  </w:style>
  <w:style w:type="character" w:customStyle="1" w:styleId="CommentTextChar">
    <w:name w:val="Comment Text Char"/>
    <w:basedOn w:val="DefaultParagraphFont"/>
    <w:link w:val="CommentText"/>
    <w:rsid w:val="0052648A"/>
    <w:rPr>
      <w:lang w:val="es-ES_tradnl"/>
    </w:rPr>
  </w:style>
  <w:style w:type="paragraph" w:styleId="CommentSubject">
    <w:name w:val="annotation subject"/>
    <w:basedOn w:val="CommentText"/>
    <w:next w:val="CommentText"/>
    <w:link w:val="CommentSubjectChar"/>
    <w:rsid w:val="0052648A"/>
    <w:rPr>
      <w:b/>
      <w:bCs/>
    </w:rPr>
  </w:style>
  <w:style w:type="character" w:customStyle="1" w:styleId="CommentSubjectChar">
    <w:name w:val="Comment Subject Char"/>
    <w:basedOn w:val="CommentTextChar"/>
    <w:link w:val="CommentSubject"/>
    <w:rsid w:val="0052648A"/>
    <w:rPr>
      <w:b/>
      <w:bCs/>
      <w:lang w:val="es-ES_tradnl"/>
    </w:rPr>
  </w:style>
  <w:style w:type="paragraph" w:styleId="Revision">
    <w:name w:val="Revision"/>
    <w:hidden/>
    <w:uiPriority w:val="99"/>
    <w:semiHidden/>
    <w:rsid w:val="0052648A"/>
    <w:rPr>
      <w:sz w:val="24"/>
      <w:lang w:val="es-ES_tradnl"/>
    </w:rPr>
  </w:style>
  <w:style w:type="character" w:styleId="Hyperlink">
    <w:name w:val="Hyperlink"/>
    <w:basedOn w:val="DefaultParagraphFont"/>
    <w:rsid w:val="0052648A"/>
    <w:rPr>
      <w:color w:val="0563C1" w:themeColor="hyperlink"/>
      <w:u w:val="single"/>
    </w:rPr>
  </w:style>
  <w:style w:type="character" w:styleId="UnresolvedMention">
    <w:name w:val="Unresolved Mention"/>
    <w:basedOn w:val="DefaultParagraphFont"/>
    <w:uiPriority w:val="99"/>
    <w:semiHidden/>
    <w:unhideWhenUsed/>
    <w:rsid w:val="005264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1048</Words>
  <Characters>5544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MLG_EP</dc:creator>
  <cp:keywords/>
  <cp:lastModifiedBy>GARCIA FERNANDEZ Laura</cp:lastModifiedBy>
  <cp:revision>2</cp:revision>
  <cp:lastPrinted>2004-11-19T15:42:00Z</cp:lastPrinted>
  <dcterms:created xsi:type="dcterms:W3CDTF">2026-05-04T08:47:00Z</dcterms:created>
  <dcterms:modified xsi:type="dcterms:W3CDTF">2026-05-04T08:47:00Z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A10-0076/2026</vt:lpwstr>
  </property>
  <property fmtid="{D5CDD505-2E9C-101B-9397-08002B2CF9AE}" pid="4" name="&lt;Type&gt;">
    <vt:lpwstr>RR</vt:lpwstr>
  </property>
</Properties>
</file>