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6DF0" w14:paraId="36D1CC38" w14:textId="77777777" w:rsidTr="0010095E">
        <w:trPr>
          <w:trHeight w:hRule="exact" w:val="1418"/>
        </w:trPr>
        <w:tc>
          <w:tcPr>
            <w:tcW w:w="6804" w:type="dxa"/>
            <w:shd w:val="clear" w:color="auto" w:fill="auto"/>
            <w:vAlign w:val="center"/>
          </w:tcPr>
          <w:p w14:paraId="6E19A5C6" w14:textId="77777777" w:rsidR="00751A4A" w:rsidRPr="00376DF0" w:rsidRDefault="009B2217" w:rsidP="0010095E">
            <w:pPr>
              <w:pStyle w:val="EPName"/>
            </w:pPr>
            <w:r w:rsidRPr="00376DF0">
              <w:t>Parlamento Europeo</w:t>
            </w:r>
          </w:p>
          <w:p w14:paraId="68F981C8" w14:textId="77777777" w:rsidR="00751A4A" w:rsidRPr="00376DF0" w:rsidRDefault="005F1B17" w:rsidP="005F1B17">
            <w:pPr>
              <w:pStyle w:val="EPTerm"/>
              <w:rPr>
                <w:rStyle w:val="HideTWBExt"/>
                <w:noProof w:val="0"/>
                <w:vanish w:val="0"/>
                <w:color w:val="auto"/>
              </w:rPr>
            </w:pPr>
            <w:r w:rsidRPr="00376DF0">
              <w:t>2024</w:t>
            </w:r>
            <w:r w:rsidR="00817416" w:rsidRPr="00376DF0">
              <w:t>-202</w:t>
            </w:r>
            <w:r w:rsidRPr="00376DF0">
              <w:t>9</w:t>
            </w:r>
          </w:p>
        </w:tc>
        <w:tc>
          <w:tcPr>
            <w:tcW w:w="2268" w:type="dxa"/>
            <w:shd w:val="clear" w:color="auto" w:fill="auto"/>
          </w:tcPr>
          <w:p w14:paraId="46F4C261" w14:textId="77777777" w:rsidR="00751A4A" w:rsidRPr="00376DF0" w:rsidRDefault="00187494" w:rsidP="0010095E">
            <w:pPr>
              <w:pStyle w:val="EPLogo"/>
            </w:pPr>
            <w:r w:rsidRPr="00376DF0">
              <w:rPr>
                <w:noProof/>
                <w:lang w:eastAsia="ja-JP"/>
              </w:rPr>
              <w:drawing>
                <wp:inline distT="0" distB="0" distL="0" distR="0" wp14:anchorId="486F8C27" wp14:editId="7A6088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94570A" w14:textId="77777777" w:rsidR="00D058B8" w:rsidRPr="00376DF0" w:rsidRDefault="00D058B8" w:rsidP="004C5D52">
      <w:pPr>
        <w:pStyle w:val="LineTop"/>
      </w:pPr>
    </w:p>
    <w:p w14:paraId="3ADBD42E" w14:textId="77777777" w:rsidR="00680577" w:rsidRPr="00376DF0" w:rsidRDefault="009B2217" w:rsidP="00680577">
      <w:pPr>
        <w:pStyle w:val="EPBodyTA1"/>
      </w:pPr>
      <w:r w:rsidRPr="00376DF0">
        <w:t>TEXTOS APROBADOS</w:t>
      </w:r>
    </w:p>
    <w:p w14:paraId="1E67AF5F" w14:textId="77777777" w:rsidR="00D058B8" w:rsidRPr="00376DF0" w:rsidRDefault="00D058B8" w:rsidP="00D058B8">
      <w:pPr>
        <w:pStyle w:val="LineBottom"/>
      </w:pPr>
    </w:p>
    <w:p w14:paraId="0ABF8E01" w14:textId="7EE7BE70" w:rsidR="009B2217" w:rsidRPr="00376DF0" w:rsidRDefault="009B2217" w:rsidP="009B2217">
      <w:pPr>
        <w:pStyle w:val="ATHeading1"/>
      </w:pPr>
      <w:bookmarkStart w:id="0" w:name="TANumber"/>
      <w:r w:rsidRPr="00376DF0">
        <w:t>P10_</w:t>
      </w:r>
      <w:proofErr w:type="gramStart"/>
      <w:r w:rsidRPr="00376DF0">
        <w:t>TA(</w:t>
      </w:r>
      <w:proofErr w:type="gramEnd"/>
      <w:r w:rsidRPr="00376DF0">
        <w:t>2026)00</w:t>
      </w:r>
      <w:r w:rsidR="006312F6" w:rsidRPr="00376DF0">
        <w:t>89</w:t>
      </w:r>
      <w:bookmarkEnd w:id="0"/>
    </w:p>
    <w:p w14:paraId="71B78292" w14:textId="77777777" w:rsidR="009B2217" w:rsidRPr="00376DF0" w:rsidRDefault="009B2217" w:rsidP="009B2217">
      <w:pPr>
        <w:pStyle w:val="ATHeading2"/>
      </w:pPr>
      <w:bookmarkStart w:id="1" w:name="title"/>
      <w:r w:rsidRPr="00376DF0">
        <w:t xml:space="preserve">Suplicatorio de suspensión de la inmunidad de </w:t>
      </w:r>
      <w:proofErr w:type="spellStart"/>
      <w:r w:rsidRPr="00376DF0">
        <w:t>Nikos</w:t>
      </w:r>
      <w:proofErr w:type="spellEnd"/>
      <w:r w:rsidRPr="00376DF0">
        <w:t xml:space="preserve"> </w:t>
      </w:r>
      <w:proofErr w:type="spellStart"/>
      <w:r w:rsidRPr="00376DF0">
        <w:t>Pappas</w:t>
      </w:r>
      <w:bookmarkEnd w:id="1"/>
      <w:proofErr w:type="spellEnd"/>
    </w:p>
    <w:p w14:paraId="2818FC73" w14:textId="77777777" w:rsidR="009B2217" w:rsidRPr="00376DF0" w:rsidRDefault="009B2217" w:rsidP="009B2217">
      <w:pPr>
        <w:rPr>
          <w:i/>
          <w:vanish/>
        </w:rPr>
      </w:pPr>
      <w:r w:rsidRPr="00376DF0">
        <w:rPr>
          <w:i/>
        </w:rPr>
        <w:fldChar w:fldCharType="begin"/>
      </w:r>
      <w:r w:rsidRPr="00376DF0">
        <w:rPr>
          <w:i/>
        </w:rPr>
        <w:instrText xml:space="preserve"> TC"(</w:instrText>
      </w:r>
      <w:bookmarkStart w:id="2" w:name="DocNumber"/>
      <w:r w:rsidRPr="00376DF0">
        <w:rPr>
          <w:i/>
        </w:rPr>
        <w:instrText>A10-0077/2026</w:instrText>
      </w:r>
      <w:bookmarkEnd w:id="2"/>
      <w:r w:rsidRPr="00376DF0">
        <w:rPr>
          <w:i/>
        </w:rPr>
        <w:instrText xml:space="preserve"> - Ponente: Krzysztof Śmiszek)"\l3 \n&gt; \* MERGEFORMAT </w:instrText>
      </w:r>
      <w:r w:rsidRPr="00376DF0">
        <w:rPr>
          <w:i/>
        </w:rPr>
        <w:fldChar w:fldCharType="end"/>
      </w:r>
    </w:p>
    <w:p w14:paraId="61998059" w14:textId="77777777" w:rsidR="009B2217" w:rsidRPr="00376DF0" w:rsidRDefault="009B2217" w:rsidP="009B2217">
      <w:pPr>
        <w:rPr>
          <w:vanish/>
        </w:rPr>
      </w:pPr>
      <w:bookmarkStart w:id="3" w:name="Commission"/>
      <w:r w:rsidRPr="00376DF0">
        <w:rPr>
          <w:vanish/>
        </w:rPr>
        <w:t>Comisión de Asuntos Jurídicos</w:t>
      </w:r>
      <w:bookmarkEnd w:id="3"/>
    </w:p>
    <w:p w14:paraId="58DDB57D" w14:textId="77777777" w:rsidR="009B2217" w:rsidRPr="00376DF0" w:rsidRDefault="009B2217" w:rsidP="009B2217">
      <w:pPr>
        <w:rPr>
          <w:vanish/>
        </w:rPr>
      </w:pPr>
      <w:bookmarkStart w:id="4" w:name="PE"/>
      <w:r w:rsidRPr="00376DF0">
        <w:rPr>
          <w:vanish/>
        </w:rPr>
        <w:t>PE784.143</w:t>
      </w:r>
      <w:bookmarkEnd w:id="4"/>
    </w:p>
    <w:p w14:paraId="4C887079" w14:textId="77777777" w:rsidR="009B2217" w:rsidRPr="00376DF0" w:rsidRDefault="009B2217" w:rsidP="009B2217">
      <w:pPr>
        <w:pStyle w:val="ATHeading3"/>
      </w:pPr>
      <w:bookmarkStart w:id="5" w:name="Sujet"/>
      <w:r w:rsidRPr="00376DF0">
        <w:t xml:space="preserve">Decisión del Parlamento Europeo, de 26 de marzo de 2026, sobre el suplicatorio de suspensión de la inmunidad de </w:t>
      </w:r>
      <w:proofErr w:type="spellStart"/>
      <w:r w:rsidRPr="00376DF0">
        <w:t>Nikos</w:t>
      </w:r>
      <w:proofErr w:type="spellEnd"/>
      <w:r w:rsidRPr="00376DF0">
        <w:t xml:space="preserve"> </w:t>
      </w:r>
      <w:proofErr w:type="spellStart"/>
      <w:r w:rsidRPr="00376DF0">
        <w:t>Pappas</w:t>
      </w:r>
      <w:bookmarkEnd w:id="5"/>
      <w:proofErr w:type="spellEnd"/>
      <w:r w:rsidRPr="00376DF0">
        <w:t xml:space="preserve"> </w:t>
      </w:r>
      <w:bookmarkStart w:id="6" w:name="References"/>
      <w:r w:rsidRPr="00376DF0">
        <w:t>(2025/2194(IMM))</w:t>
      </w:r>
      <w:bookmarkEnd w:id="6"/>
    </w:p>
    <w:p w14:paraId="5515D87B" w14:textId="77777777" w:rsidR="00FD6CDE" w:rsidRPr="00376DF0" w:rsidRDefault="00FD6CDE" w:rsidP="00FD6CDE">
      <w:pPr>
        <w:pStyle w:val="EPComma"/>
        <w:widowControl/>
      </w:pPr>
      <w:bookmarkStart w:id="7" w:name="TextBodyBegin"/>
      <w:bookmarkEnd w:id="7"/>
      <w:r w:rsidRPr="00376DF0">
        <w:rPr>
          <w:i/>
        </w:rPr>
        <w:t>El Parlamento Europeo</w:t>
      </w:r>
      <w:r w:rsidRPr="00376DF0">
        <w:t>,</w:t>
      </w:r>
    </w:p>
    <w:p w14:paraId="421EBDAD" w14:textId="77777777" w:rsidR="00FD6CDE" w:rsidRPr="00376DF0" w:rsidRDefault="00FD6CDE" w:rsidP="00FD6CDE">
      <w:pPr>
        <w:pStyle w:val="NormalHanging12a"/>
        <w:widowControl/>
      </w:pPr>
      <w:r w:rsidRPr="00376DF0">
        <w:t>–</w:t>
      </w:r>
      <w:r w:rsidRPr="00376DF0">
        <w:tab/>
        <w:t xml:space="preserve">Visto el suplicatorio de suspensión de la inmunidad de </w:t>
      </w:r>
      <w:proofErr w:type="spellStart"/>
      <w:r w:rsidRPr="00376DF0">
        <w:t>Nikos</w:t>
      </w:r>
      <w:proofErr w:type="spellEnd"/>
      <w:r w:rsidRPr="00376DF0">
        <w:t xml:space="preserve"> </w:t>
      </w:r>
      <w:proofErr w:type="spellStart"/>
      <w:r w:rsidRPr="00376DF0">
        <w:t>Pappas</w:t>
      </w:r>
      <w:proofErr w:type="spellEnd"/>
      <w:r w:rsidRPr="00376DF0">
        <w:t xml:space="preserve">, recibido mediante carta, el 10 de septiembre de 2025, de la </w:t>
      </w:r>
      <w:proofErr w:type="gramStart"/>
      <w:r w:rsidRPr="00376DF0">
        <w:t>Fiscalía General</w:t>
      </w:r>
      <w:proofErr w:type="gramEnd"/>
      <w:r w:rsidRPr="00376DF0">
        <w:t xml:space="preserve"> del Tribunal Supremo de la República Helénica, por la que se transmitía un suplicatorio presentado por la Fiscalía del Tribunal de Primera Instancia de Atenas, en relación con el procedimiento penal que debe incoarse contra él, y comunicado al Parlamento el 6 de octubre de 2025,</w:t>
      </w:r>
    </w:p>
    <w:p w14:paraId="305F6B44" w14:textId="77777777" w:rsidR="00FD6CDE" w:rsidRPr="00376DF0" w:rsidRDefault="00FD6CDE" w:rsidP="00FD6CDE">
      <w:pPr>
        <w:pStyle w:val="NormalHanging12a"/>
        <w:widowControl/>
      </w:pPr>
      <w:r w:rsidRPr="00376DF0">
        <w:t>–</w:t>
      </w:r>
      <w:r w:rsidRPr="00376DF0">
        <w:tab/>
        <w:t xml:space="preserve">Previa audiencia a </w:t>
      </w:r>
      <w:proofErr w:type="spellStart"/>
      <w:r w:rsidRPr="00376DF0">
        <w:t>Nikos</w:t>
      </w:r>
      <w:proofErr w:type="spellEnd"/>
      <w:r w:rsidRPr="00376DF0">
        <w:t xml:space="preserve"> </w:t>
      </w:r>
      <w:proofErr w:type="spellStart"/>
      <w:r w:rsidRPr="00376DF0">
        <w:t>Pappas</w:t>
      </w:r>
      <w:proofErr w:type="spellEnd"/>
      <w:r w:rsidRPr="00376DF0">
        <w:t xml:space="preserve"> el 28 de enero de 2026, de conformidad con el artículo 9, apartado 6, de su Reglamento interno,</w:t>
      </w:r>
    </w:p>
    <w:p w14:paraId="57A2EC3D" w14:textId="77777777" w:rsidR="00FD6CDE" w:rsidRPr="00376DF0" w:rsidRDefault="00FD6CDE" w:rsidP="00FD6CDE">
      <w:pPr>
        <w:pStyle w:val="NormalHanging12a"/>
        <w:widowControl/>
      </w:pPr>
      <w:r w:rsidRPr="00376DF0">
        <w:t>–</w:t>
      </w:r>
      <w:r w:rsidRPr="00376DF0">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204DC684" w14:textId="011734A3" w:rsidR="00FD6CDE" w:rsidRPr="00376DF0" w:rsidRDefault="00FD6CDE" w:rsidP="00FD6CDE">
      <w:pPr>
        <w:pStyle w:val="NormalHanging12a"/>
        <w:widowControl/>
      </w:pPr>
      <w:r w:rsidRPr="00376DF0">
        <w:t>–</w:t>
      </w:r>
      <w:r w:rsidRPr="00376DF0">
        <w:tab/>
        <w:t>Vistas las sentencias del Tribunal de Justicia de la Unión Europea de 21 de octubre de 2008, 19 de marzo de 2010, 6 de septiembre de 2011, 17 de enero de 2013</w:t>
      </w:r>
      <w:r w:rsidR="003123A6" w:rsidRPr="00376DF0">
        <w:t xml:space="preserve"> y</w:t>
      </w:r>
      <w:r w:rsidRPr="00376DF0">
        <w:t xml:space="preserve"> 19 de diciembre de 2019</w:t>
      </w:r>
      <w:r w:rsidRPr="00376DF0">
        <w:rPr>
          <w:vertAlign w:val="superscript"/>
        </w:rPr>
        <w:footnoteReference w:id="1"/>
      </w:r>
      <w:r w:rsidRPr="00376DF0">
        <w:t>,</w:t>
      </w:r>
    </w:p>
    <w:p w14:paraId="62C56E13" w14:textId="77777777" w:rsidR="00FD6CDE" w:rsidRPr="00376DF0" w:rsidRDefault="00FD6CDE" w:rsidP="00FD6CDE">
      <w:pPr>
        <w:pStyle w:val="NormalHanging12a"/>
        <w:widowControl/>
      </w:pPr>
      <w:r w:rsidRPr="00376DF0">
        <w:t>–</w:t>
      </w:r>
      <w:r w:rsidRPr="00376DF0">
        <w:tab/>
        <w:t>Vistos el artículo 5, apartado 2, el artículo 6, apartado 1, y el artículo 9 de su Reglamento interno,</w:t>
      </w:r>
    </w:p>
    <w:p w14:paraId="4B1CAA9D" w14:textId="77777777" w:rsidR="00FD6CDE" w:rsidRPr="00376DF0" w:rsidRDefault="00FD6CDE" w:rsidP="00FD6CDE">
      <w:pPr>
        <w:pStyle w:val="NormalHanging12a"/>
        <w:widowControl/>
      </w:pPr>
      <w:r w:rsidRPr="00376DF0">
        <w:lastRenderedPageBreak/>
        <w:t>–</w:t>
      </w:r>
      <w:r w:rsidRPr="00376DF0">
        <w:tab/>
        <w:t>Visto el informe de la Comisión de Asuntos Jurídicos (A10-0077/2026),</w:t>
      </w:r>
    </w:p>
    <w:p w14:paraId="25CA2F77" w14:textId="61509493" w:rsidR="00FD6CDE" w:rsidRPr="00376DF0" w:rsidRDefault="00FD6CDE" w:rsidP="00FD6CDE">
      <w:pPr>
        <w:pStyle w:val="NormalHanging12a"/>
        <w:widowControl/>
      </w:pPr>
      <w:r w:rsidRPr="00376DF0">
        <w:t>A.</w:t>
      </w:r>
      <w:r w:rsidRPr="00376DF0">
        <w:tab/>
        <w:t>Considerando que</w:t>
      </w:r>
      <w:r w:rsidR="00DD438B" w:rsidRPr="00376DF0">
        <w:t>, mediante carta con fecha de 10 de septiembre de 2025,</w:t>
      </w:r>
      <w:r w:rsidRPr="00376DF0">
        <w:t xml:space="preserve"> la Fiscalía General del Tribunal Supremo de la República Helénica ha transmitido un suplicatorio de la Fiscalía del Tribunal de Primera Instancia de Atenas para la suspensión de la inmunidad de </w:t>
      </w:r>
      <w:proofErr w:type="spellStart"/>
      <w:r w:rsidRPr="00376DF0">
        <w:t>Nikos</w:t>
      </w:r>
      <w:proofErr w:type="spellEnd"/>
      <w:r w:rsidRPr="00376DF0">
        <w:t xml:space="preserve"> </w:t>
      </w:r>
      <w:proofErr w:type="spellStart"/>
      <w:r w:rsidRPr="00376DF0">
        <w:t>Pappas</w:t>
      </w:r>
      <w:proofErr w:type="spellEnd"/>
      <w:r w:rsidRPr="00376DF0">
        <w:t>, diputado al Parlamento Europeo</w:t>
      </w:r>
      <w:r w:rsidR="003123A6" w:rsidRPr="00376DF0">
        <w:t xml:space="preserve"> elegido en la República Helénica</w:t>
      </w:r>
      <w:r w:rsidRPr="00376DF0">
        <w:t>, en relación con presuntos actos de difamación e injurias, tipificados como delitos en los artículos 361, apartado 1, y 363 del Código Penal griego, hechos delictivos constitutivos de un delito leve;</w:t>
      </w:r>
    </w:p>
    <w:p w14:paraId="588BA752" w14:textId="77777777" w:rsidR="00FD6CDE" w:rsidRPr="00376DF0" w:rsidRDefault="00FD6CDE" w:rsidP="00FD6CDE">
      <w:pPr>
        <w:pStyle w:val="NormalHanging12a"/>
        <w:widowControl/>
      </w:pPr>
      <w:r w:rsidRPr="00376DF0">
        <w:t>B.</w:t>
      </w:r>
      <w:r w:rsidRPr="00376DF0">
        <w:tab/>
        <w:t xml:space="preserve">Considerando que, según el suplicatorio, la querella indica que, en el contexto de una entrevista para un programa en línea, </w:t>
      </w:r>
      <w:proofErr w:type="spellStart"/>
      <w:r w:rsidRPr="00376DF0">
        <w:t>Nikos</w:t>
      </w:r>
      <w:proofErr w:type="spellEnd"/>
      <w:r w:rsidRPr="00376DF0">
        <w:t xml:space="preserve"> </w:t>
      </w:r>
      <w:proofErr w:type="spellStart"/>
      <w:r w:rsidRPr="00376DF0">
        <w:t>Pappas</w:t>
      </w:r>
      <w:proofErr w:type="spellEnd"/>
      <w:r w:rsidRPr="00376DF0">
        <w:t xml:space="preserve"> supuestamente pronunció, ante terceros, afirmaciones falsas y difamatorias sobre un periodista, atentando intencionadamente contra su honor; que </w:t>
      </w:r>
      <w:proofErr w:type="spellStart"/>
      <w:r w:rsidRPr="00376DF0">
        <w:t>Nikos</w:t>
      </w:r>
      <w:proofErr w:type="spellEnd"/>
      <w:r w:rsidRPr="00376DF0">
        <w:t xml:space="preserve"> </w:t>
      </w:r>
      <w:proofErr w:type="spellStart"/>
      <w:r w:rsidRPr="00376DF0">
        <w:t>Pappas</w:t>
      </w:r>
      <w:proofErr w:type="spellEnd"/>
      <w:r w:rsidRPr="00376DF0">
        <w:t xml:space="preserve"> presuntamente perpetró estos delitos en Atenas el 20 de marzo de 2024;</w:t>
      </w:r>
    </w:p>
    <w:p w14:paraId="009ECC62" w14:textId="77777777" w:rsidR="00FD6CDE" w:rsidRPr="00376DF0" w:rsidRDefault="00FD6CDE" w:rsidP="00FD6CDE">
      <w:pPr>
        <w:pStyle w:val="NormalHanging12a"/>
        <w:widowControl/>
      </w:pPr>
      <w:r w:rsidRPr="00376DF0">
        <w:t>C.</w:t>
      </w:r>
      <w:r w:rsidRPr="00376DF0">
        <w:tab/>
        <w:t xml:space="preserve">Considerando que </w:t>
      </w:r>
      <w:proofErr w:type="spellStart"/>
      <w:r w:rsidRPr="00376DF0">
        <w:t>Nikos</w:t>
      </w:r>
      <w:proofErr w:type="spellEnd"/>
      <w:r w:rsidRPr="00376DF0">
        <w:t xml:space="preserve"> </w:t>
      </w:r>
      <w:proofErr w:type="spellStart"/>
      <w:r w:rsidRPr="00376DF0">
        <w:t>Pappas</w:t>
      </w:r>
      <w:proofErr w:type="spellEnd"/>
      <w:r w:rsidRPr="00376DF0">
        <w:t xml:space="preserve"> fue elegido diputado al Parlamento Europeo en las elecciones europeas de junio de 2024 y que no era diputado al Parlamento Europeo en el momento de la presunta comisión de los delitos; que la querella contra él data del 10 de junio de 2024;</w:t>
      </w:r>
    </w:p>
    <w:p w14:paraId="67138C0A" w14:textId="6162FFB1" w:rsidR="00FD6CDE" w:rsidRPr="00376DF0" w:rsidRDefault="00FD6CDE" w:rsidP="00FD6CDE">
      <w:pPr>
        <w:pStyle w:val="NormalHanging12a"/>
        <w:widowControl/>
      </w:pPr>
      <w:r w:rsidRPr="00376DF0">
        <w:t>D.</w:t>
      </w:r>
      <w:r w:rsidRPr="00376DF0">
        <w:tab/>
        <w:t xml:space="preserve">Considerando que el supuesto delito </w:t>
      </w:r>
      <w:r w:rsidR="00DD438B" w:rsidRPr="00376DF0">
        <w:t>no constituye una</w:t>
      </w:r>
      <w:r w:rsidRPr="00376DF0">
        <w:t xml:space="preserve"> opini</w:t>
      </w:r>
      <w:r w:rsidR="00DD438B" w:rsidRPr="00376DF0">
        <w:t>ón expresada</w:t>
      </w:r>
      <w:r w:rsidRPr="00376DF0">
        <w:t xml:space="preserve"> o </w:t>
      </w:r>
      <w:r w:rsidR="00DD438B" w:rsidRPr="00376DF0">
        <w:t>un</w:t>
      </w:r>
      <w:r w:rsidRPr="00376DF0">
        <w:t xml:space="preserve"> voto emitido </w:t>
      </w:r>
      <w:r w:rsidR="00DD438B" w:rsidRPr="00376DF0">
        <w:t xml:space="preserve">por </w:t>
      </w:r>
      <w:proofErr w:type="spellStart"/>
      <w:r w:rsidR="00DD438B" w:rsidRPr="00376DF0">
        <w:t>Nikos</w:t>
      </w:r>
      <w:proofErr w:type="spellEnd"/>
      <w:r w:rsidR="00DD438B" w:rsidRPr="00376DF0">
        <w:t xml:space="preserve"> </w:t>
      </w:r>
      <w:proofErr w:type="spellStart"/>
      <w:r w:rsidR="00DD438B" w:rsidRPr="00376DF0">
        <w:t>Pappas</w:t>
      </w:r>
      <w:proofErr w:type="spellEnd"/>
      <w:r w:rsidR="00DD438B" w:rsidRPr="00376DF0">
        <w:t xml:space="preserve"> </w:t>
      </w:r>
      <w:r w:rsidRPr="00376DF0">
        <w:t>en el ejercicio de sus funciones en el sentido del artículo 8 del Protocolo n.º 7 sobre los privilegios y las inmunidades de la Unión Europea</w:t>
      </w:r>
      <w:r w:rsidR="00DD438B" w:rsidRPr="00376DF0">
        <w:t>, ni el ulterior suplicatorio está relacionado con tal opinión o voto</w:t>
      </w:r>
      <w:r w:rsidRPr="00376DF0">
        <w:t>;</w:t>
      </w:r>
    </w:p>
    <w:p w14:paraId="73F03D90" w14:textId="77777777" w:rsidR="00FD6CDE" w:rsidRPr="00376DF0" w:rsidRDefault="00FD6CDE" w:rsidP="00FD6CDE">
      <w:pPr>
        <w:pStyle w:val="NormalHanging12a"/>
        <w:widowControl/>
      </w:pPr>
      <w:r w:rsidRPr="00376DF0">
        <w:t>E.</w:t>
      </w:r>
      <w:r w:rsidRPr="00376DF0">
        <w:tab/>
        <w:t>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país;</w:t>
      </w:r>
    </w:p>
    <w:p w14:paraId="6276B220" w14:textId="77777777" w:rsidR="00FD6CDE" w:rsidRPr="00376DF0" w:rsidRDefault="00FD6CDE" w:rsidP="00FD6CDE">
      <w:pPr>
        <w:pStyle w:val="NormalHanging12a"/>
        <w:widowControl/>
      </w:pPr>
      <w:r w:rsidRPr="00376DF0">
        <w:t>F.</w:t>
      </w:r>
      <w:r w:rsidRPr="00376DF0">
        <w:tab/>
        <w:t>Considerando que, de conformidad con el artículo 62 de la Constitución de la República Helénica, ningún diputado podrá ser procesado, detenido, preso o sometido a otras medidas privativas de libertad durante su mandato sin la autorización de la Cámara de Diputados;</w:t>
      </w:r>
    </w:p>
    <w:p w14:paraId="7E9C565B" w14:textId="77777777" w:rsidR="00FD6CDE" w:rsidRPr="00376DF0" w:rsidRDefault="00FD6CDE" w:rsidP="00FD6CDE">
      <w:pPr>
        <w:pStyle w:val="NormalHanging12a"/>
        <w:widowControl/>
      </w:pPr>
      <w:r w:rsidRPr="00376DF0">
        <w:t>G.</w:t>
      </w:r>
      <w:r w:rsidRPr="00376DF0">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14:paraId="4EA9CE01" w14:textId="77777777" w:rsidR="00FD6CDE" w:rsidRPr="00376DF0" w:rsidRDefault="00FD6CDE" w:rsidP="00FD6CDE">
      <w:pPr>
        <w:pStyle w:val="NormalHanging12a"/>
        <w:widowControl/>
      </w:pPr>
      <w:r w:rsidRPr="00376DF0">
        <w:t>H.</w:t>
      </w:r>
      <w:r w:rsidRPr="00376DF0">
        <w:tab/>
        <w:t>Considerando que, de conformidad con el artículo 5, apartado 2, de su Reglamento interno, la inmunidad parlamentaria no es un privilegio personal del diputado, sino una garantía de independencia del Parlamento en su conjunto y de sus diputados;</w:t>
      </w:r>
    </w:p>
    <w:p w14:paraId="6350DA65" w14:textId="77777777" w:rsidR="00FD6CDE" w:rsidRPr="00376DF0" w:rsidRDefault="00FD6CDE" w:rsidP="00FD6CDE">
      <w:pPr>
        <w:pStyle w:val="NormalHanging12a"/>
        <w:widowControl/>
      </w:pPr>
      <w:r w:rsidRPr="00376DF0">
        <w:t>I.</w:t>
      </w:r>
      <w:r w:rsidRPr="00376DF0">
        <w:tab/>
        <w:t xml:space="preserve">Considerando que, en este caso, el Parlamento no ha podido determinar la existencia de </w:t>
      </w:r>
      <w:proofErr w:type="spellStart"/>
      <w:r w:rsidRPr="00376DF0">
        <w:rPr>
          <w:i/>
          <w:iCs/>
        </w:rPr>
        <w:t>fumus</w:t>
      </w:r>
      <w:proofErr w:type="spellEnd"/>
      <w:r w:rsidRPr="00376DF0">
        <w:rPr>
          <w:i/>
          <w:iCs/>
        </w:rPr>
        <w:t xml:space="preserve"> </w:t>
      </w:r>
      <w:proofErr w:type="spellStart"/>
      <w:r w:rsidRPr="00376DF0">
        <w:rPr>
          <w:i/>
          <w:iCs/>
        </w:rPr>
        <w:t>persecutionis</w:t>
      </w:r>
      <w:proofErr w:type="spellEnd"/>
      <w:r w:rsidRPr="00376DF0">
        <w:t>, esto es, de elementos de hecho que indiquen que la actuación judicial en cuestión se inició con la intención de causar un perjuicio a la actividad política del diputado en su condición de miembro del Parlamento Europeo;</w:t>
      </w:r>
    </w:p>
    <w:p w14:paraId="2FD75352" w14:textId="77777777" w:rsidR="00FD6CDE" w:rsidRPr="00376DF0" w:rsidRDefault="00FD6CDE" w:rsidP="00FD6CDE">
      <w:pPr>
        <w:pStyle w:val="NormalHanging12a"/>
        <w:widowControl/>
      </w:pPr>
      <w:r w:rsidRPr="00376DF0">
        <w:lastRenderedPageBreak/>
        <w:t>J.</w:t>
      </w:r>
      <w:r w:rsidRPr="00376DF0">
        <w:tab/>
        <w:t>Considerando, por un lado, que el Parlamento no puede equipararse a un órgano jurisdiccional y, por otro, que el diputado, en el contexto de un procedimiento de suspensión de la inmunidad, no puede considerarse un «acusado»</w:t>
      </w:r>
      <w:r w:rsidRPr="00376DF0">
        <w:rPr>
          <w:vertAlign w:val="superscript"/>
        </w:rPr>
        <w:footnoteReference w:id="2"/>
      </w:r>
      <w:r w:rsidRPr="00376DF0">
        <w:t>;</w:t>
      </w:r>
    </w:p>
    <w:p w14:paraId="72A44994" w14:textId="77777777" w:rsidR="00FD6CDE" w:rsidRPr="00376DF0" w:rsidRDefault="00FD6CDE" w:rsidP="00FD6CDE">
      <w:pPr>
        <w:pStyle w:val="NormalHanging12a"/>
        <w:widowControl/>
      </w:pPr>
      <w:r w:rsidRPr="00376DF0">
        <w:t>1.</w:t>
      </w:r>
      <w:r w:rsidRPr="00376DF0">
        <w:tab/>
        <w:t xml:space="preserve">Decide suspender la inmunidad parlamentaria de </w:t>
      </w:r>
      <w:proofErr w:type="spellStart"/>
      <w:r w:rsidRPr="00376DF0">
        <w:t>Nikos</w:t>
      </w:r>
      <w:proofErr w:type="spellEnd"/>
      <w:r w:rsidRPr="00376DF0">
        <w:t xml:space="preserve"> </w:t>
      </w:r>
      <w:proofErr w:type="spellStart"/>
      <w:r w:rsidRPr="00376DF0">
        <w:t>Pappas</w:t>
      </w:r>
      <w:proofErr w:type="spellEnd"/>
      <w:r w:rsidRPr="00376DF0">
        <w:t>;</w:t>
      </w:r>
    </w:p>
    <w:p w14:paraId="714E91D1" w14:textId="49B2E146" w:rsidR="00E365E1" w:rsidRPr="00376DF0" w:rsidRDefault="00FD6CDE" w:rsidP="006312F6">
      <w:pPr>
        <w:ind w:left="567" w:hanging="567"/>
      </w:pPr>
      <w:r w:rsidRPr="00376DF0">
        <w:t>2.</w:t>
      </w:r>
      <w:r w:rsidRPr="00376DF0">
        <w:tab/>
        <w:t xml:space="preserve">Encarga a su presidenta que transmita inmediatamente la presente Decisión y el informe de la comisión competente a las autoridades competentes de la República Helénica y a </w:t>
      </w:r>
      <w:proofErr w:type="spellStart"/>
      <w:r w:rsidRPr="00376DF0">
        <w:t>Nikos</w:t>
      </w:r>
      <w:proofErr w:type="spellEnd"/>
      <w:r w:rsidRPr="00376DF0">
        <w:t xml:space="preserve"> </w:t>
      </w:r>
      <w:proofErr w:type="spellStart"/>
      <w:r w:rsidRPr="00376DF0">
        <w:t>Pappas</w:t>
      </w:r>
      <w:proofErr w:type="spellEnd"/>
      <w:r w:rsidRPr="00376DF0">
        <w:t>.</w:t>
      </w:r>
    </w:p>
    <w:sectPr w:rsidR="00E365E1" w:rsidRPr="00376DF0" w:rsidSect="0089621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F91EA" w14:textId="77777777" w:rsidR="009B2217" w:rsidRPr="00896218" w:rsidRDefault="009B2217">
      <w:r w:rsidRPr="00896218">
        <w:separator/>
      </w:r>
    </w:p>
  </w:endnote>
  <w:endnote w:type="continuationSeparator" w:id="0">
    <w:p w14:paraId="206B6568" w14:textId="77777777" w:rsidR="009B2217" w:rsidRPr="00896218" w:rsidRDefault="009B2217">
      <w:r w:rsidRPr="008962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EFFB" w14:textId="77777777" w:rsidR="00064002" w:rsidRPr="0089621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4AFBF" w14:textId="77777777" w:rsidR="00064002" w:rsidRPr="0089621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5A5F4" w14:textId="77777777" w:rsidR="00064002" w:rsidRPr="008962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BACF1" w14:textId="77777777" w:rsidR="009B2217" w:rsidRPr="00896218" w:rsidRDefault="009B2217">
      <w:r w:rsidRPr="00896218">
        <w:separator/>
      </w:r>
    </w:p>
  </w:footnote>
  <w:footnote w:type="continuationSeparator" w:id="0">
    <w:p w14:paraId="4370AECF" w14:textId="77777777" w:rsidR="009B2217" w:rsidRPr="00896218" w:rsidRDefault="009B2217">
      <w:r w:rsidRPr="00896218">
        <w:continuationSeparator/>
      </w:r>
    </w:p>
  </w:footnote>
  <w:footnote w:id="1">
    <w:p w14:paraId="6F3137D0" w14:textId="1F6684B3" w:rsidR="00FD6CDE" w:rsidRPr="00896218" w:rsidRDefault="00FD6CDE" w:rsidP="00896218">
      <w:pPr>
        <w:pStyle w:val="FootnoteText"/>
        <w:ind w:left="567" w:hanging="567"/>
        <w:rPr>
          <w:sz w:val="24"/>
          <w:lang w:val="es-ES_tradnl"/>
        </w:rPr>
      </w:pPr>
      <w:r w:rsidRPr="00896218">
        <w:rPr>
          <w:rStyle w:val="FootnoteReference"/>
          <w:sz w:val="24"/>
          <w:lang w:val="es-ES_tradnl"/>
        </w:rPr>
        <w:footnoteRef/>
      </w:r>
      <w:r w:rsidR="00896218" w:rsidRPr="00896218">
        <w:rPr>
          <w:sz w:val="24"/>
          <w:lang w:val="es-ES_tradnl"/>
        </w:rPr>
        <w:t xml:space="preserve"> </w:t>
      </w:r>
      <w:r w:rsidR="00896218" w:rsidRPr="00896218">
        <w:rPr>
          <w:sz w:val="24"/>
          <w:lang w:val="es-ES_tradnl"/>
        </w:rPr>
        <w:tab/>
      </w:r>
      <w:r w:rsidRPr="00896218">
        <w:rPr>
          <w:sz w:val="24"/>
          <w:lang w:val="es-ES_tradnl"/>
        </w:rPr>
        <w:t xml:space="preserve">Sentencia del Tribunal de Justicia de 21 de octubre de 2008, </w:t>
      </w:r>
      <w:r w:rsidRPr="003123A6">
        <w:rPr>
          <w:sz w:val="24"/>
          <w:lang w:val="es-ES_tradnl"/>
        </w:rPr>
        <w:t>Marra/De Gregorio y Clemente</w:t>
      </w:r>
      <w:r w:rsidRPr="00896218">
        <w:rPr>
          <w:sz w:val="24"/>
          <w:lang w:val="es-ES_tradnl"/>
        </w:rPr>
        <w:t>, C</w:t>
      </w:r>
      <w:r w:rsidRPr="00896218">
        <w:rPr>
          <w:sz w:val="24"/>
          <w:lang w:val="es-ES_tradnl"/>
        </w:rPr>
        <w:noBreakHyphen/>
        <w:t>200/07 y C</w:t>
      </w:r>
      <w:r w:rsidRPr="00896218">
        <w:rPr>
          <w:sz w:val="24"/>
          <w:lang w:val="es-ES_tradnl"/>
        </w:rPr>
        <w:noBreakHyphen/>
        <w:t xml:space="preserve">201/07, ECLI:EU:C:2008:579; sentencia del Tribunal General de 19 de marzo de 2010, </w:t>
      </w:r>
      <w:proofErr w:type="spellStart"/>
      <w:r w:rsidRPr="003123A6">
        <w:rPr>
          <w:sz w:val="24"/>
          <w:lang w:val="es-ES_tradnl"/>
        </w:rPr>
        <w:t>Gollnisch</w:t>
      </w:r>
      <w:proofErr w:type="spellEnd"/>
      <w:r w:rsidRPr="003123A6">
        <w:rPr>
          <w:sz w:val="24"/>
          <w:lang w:val="es-ES_tradnl"/>
        </w:rPr>
        <w:t>/Parlamento</w:t>
      </w:r>
      <w:r w:rsidRPr="00896218">
        <w:rPr>
          <w:sz w:val="24"/>
          <w:lang w:val="es-ES_tradnl"/>
        </w:rPr>
        <w:t>, T</w:t>
      </w:r>
      <w:r w:rsidRPr="00896218">
        <w:rPr>
          <w:sz w:val="24"/>
          <w:lang w:val="es-ES_tradnl"/>
        </w:rPr>
        <w:noBreakHyphen/>
        <w:t xml:space="preserve">42/06, ECLI:EU:T:2010:102; sentencia del Tribunal de Justicia de 6 de septiembre de 2011, </w:t>
      </w:r>
      <w:proofErr w:type="spellStart"/>
      <w:r w:rsidRPr="003123A6">
        <w:rPr>
          <w:sz w:val="24"/>
          <w:lang w:val="es-ES_tradnl"/>
        </w:rPr>
        <w:t>Patriciello</w:t>
      </w:r>
      <w:proofErr w:type="spellEnd"/>
      <w:r w:rsidRPr="003123A6">
        <w:rPr>
          <w:sz w:val="24"/>
          <w:lang w:val="es-ES_tradnl"/>
        </w:rPr>
        <w:t>,</w:t>
      </w:r>
      <w:r w:rsidRPr="00896218">
        <w:rPr>
          <w:sz w:val="24"/>
          <w:lang w:val="es-ES_tradnl"/>
        </w:rPr>
        <w:t xml:space="preserve"> C</w:t>
      </w:r>
      <w:r w:rsidRPr="00896218">
        <w:rPr>
          <w:sz w:val="24"/>
          <w:lang w:val="es-ES_tradnl"/>
        </w:rPr>
        <w:noBreakHyphen/>
        <w:t xml:space="preserve">163/10, ECLI: EU:C:2011:543; sentencia del Tribunal General de 17 de enero de 2013, </w:t>
      </w:r>
      <w:proofErr w:type="spellStart"/>
      <w:r w:rsidRPr="003123A6">
        <w:rPr>
          <w:sz w:val="24"/>
          <w:lang w:val="es-ES_tradnl"/>
        </w:rPr>
        <w:t>Gollnisch</w:t>
      </w:r>
      <w:proofErr w:type="spellEnd"/>
      <w:r w:rsidRPr="003123A6">
        <w:rPr>
          <w:sz w:val="24"/>
          <w:lang w:val="es-ES_tradnl"/>
        </w:rPr>
        <w:t>/Parlamento,</w:t>
      </w:r>
      <w:r w:rsidRPr="00896218">
        <w:rPr>
          <w:sz w:val="24"/>
          <w:lang w:val="es-ES_tradnl"/>
        </w:rPr>
        <w:t xml:space="preserve"> T</w:t>
      </w:r>
      <w:r w:rsidRPr="00896218">
        <w:rPr>
          <w:sz w:val="24"/>
          <w:lang w:val="es-ES_tradnl"/>
        </w:rPr>
        <w:noBreakHyphen/>
        <w:t>346/11 y T</w:t>
      </w:r>
      <w:r w:rsidRPr="00896218">
        <w:rPr>
          <w:sz w:val="24"/>
          <w:lang w:val="es-ES_tradnl"/>
        </w:rPr>
        <w:noBreakHyphen/>
        <w:t xml:space="preserve">347/11, ECLI:EU:T:2013:23; sentencia del Tribunal de Justicia de 19 de diciembre de 2019, </w:t>
      </w:r>
      <w:r w:rsidRPr="003123A6">
        <w:rPr>
          <w:sz w:val="24"/>
          <w:lang w:val="es-ES_tradnl"/>
        </w:rPr>
        <w:t xml:space="preserve">Junqueras </w:t>
      </w:r>
      <w:proofErr w:type="spellStart"/>
      <w:r w:rsidRPr="003123A6">
        <w:rPr>
          <w:sz w:val="24"/>
          <w:lang w:val="es-ES_tradnl"/>
        </w:rPr>
        <w:t>Vies</w:t>
      </w:r>
      <w:proofErr w:type="spellEnd"/>
      <w:r w:rsidRPr="00896218">
        <w:rPr>
          <w:sz w:val="24"/>
          <w:lang w:val="es-ES_tradnl"/>
        </w:rPr>
        <w:t>, C</w:t>
      </w:r>
      <w:r w:rsidRPr="00896218">
        <w:rPr>
          <w:sz w:val="24"/>
          <w:lang w:val="es-ES_tradnl"/>
        </w:rPr>
        <w:noBreakHyphen/>
        <w:t>502/19, ECLI:EU:C:2019:1115.</w:t>
      </w:r>
    </w:p>
  </w:footnote>
  <w:footnote w:id="2">
    <w:p w14:paraId="4E3715E8" w14:textId="77E4C691" w:rsidR="00FD6CDE" w:rsidRPr="00896218" w:rsidRDefault="00FD6CDE" w:rsidP="00896218">
      <w:pPr>
        <w:pStyle w:val="FootnoteText"/>
        <w:ind w:left="567" w:hanging="567"/>
        <w:rPr>
          <w:sz w:val="24"/>
          <w:lang w:val="es-ES_tradnl"/>
        </w:rPr>
      </w:pPr>
      <w:r w:rsidRPr="00896218">
        <w:rPr>
          <w:rStyle w:val="FootnoteReference"/>
          <w:sz w:val="24"/>
          <w:lang w:val="es-ES_tradnl"/>
        </w:rPr>
        <w:footnoteRef/>
      </w:r>
      <w:r w:rsidR="00896218" w:rsidRPr="00896218">
        <w:rPr>
          <w:sz w:val="24"/>
          <w:lang w:val="es-ES_tradnl"/>
        </w:rPr>
        <w:t xml:space="preserve"> </w:t>
      </w:r>
      <w:r w:rsidR="00896218" w:rsidRPr="00896218">
        <w:rPr>
          <w:sz w:val="24"/>
          <w:lang w:val="es-ES_tradnl"/>
        </w:rPr>
        <w:tab/>
      </w:r>
      <w:r w:rsidRPr="00896218">
        <w:rPr>
          <w:sz w:val="24"/>
          <w:lang w:val="es-ES_tradnl"/>
        </w:rPr>
        <w:t xml:space="preserve">Sentencia del Tribunal General de 30 de abril de 2019, </w:t>
      </w:r>
      <w:proofErr w:type="spellStart"/>
      <w:r w:rsidRPr="00896218">
        <w:rPr>
          <w:sz w:val="24"/>
          <w:lang w:val="es-ES_tradnl"/>
        </w:rPr>
        <w:t>Briois</w:t>
      </w:r>
      <w:proofErr w:type="spellEnd"/>
      <w:r w:rsidRPr="00896218">
        <w:rPr>
          <w:sz w:val="24"/>
          <w:lang w:val="es-ES_tradnl"/>
        </w:rPr>
        <w:t>/Parlamento, T</w:t>
      </w:r>
      <w:r w:rsidRPr="00896218">
        <w:rPr>
          <w:sz w:val="24"/>
          <w:lang w:val="es-ES_tradnl"/>
        </w:rPr>
        <w:noBreakHyphen/>
        <w:t>214/18, ECLI:</w:t>
      </w:r>
      <w:proofErr w:type="gramStart"/>
      <w:r w:rsidRPr="00896218">
        <w:rPr>
          <w:sz w:val="24"/>
          <w:lang w:val="es-ES_tradnl"/>
        </w:rPr>
        <w:t>EU:T</w:t>
      </w:r>
      <w:proofErr w:type="gramEnd"/>
      <w:r w:rsidRPr="00896218">
        <w:rPr>
          <w:sz w:val="24"/>
          <w:lang w:val="es-ES_tradnl"/>
        </w:rPr>
        <w:t>:2019:266, apartado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48FFB" w14:textId="77777777" w:rsidR="00064002" w:rsidRPr="008962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A0400" w14:textId="77777777" w:rsidR="00064002" w:rsidRPr="008962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DE1E7" w14:textId="77777777" w:rsidR="00064002" w:rsidRPr="008962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8680841">
    <w:abstractNumId w:val="9"/>
  </w:num>
  <w:num w:numId="2" w16cid:durableId="477574577">
    <w:abstractNumId w:val="9"/>
  </w:num>
  <w:num w:numId="3" w16cid:durableId="1137379656">
    <w:abstractNumId w:val="7"/>
  </w:num>
  <w:num w:numId="4" w16cid:durableId="1009255431">
    <w:abstractNumId w:val="7"/>
  </w:num>
  <w:num w:numId="5" w16cid:durableId="796024053">
    <w:abstractNumId w:val="6"/>
  </w:num>
  <w:num w:numId="6" w16cid:durableId="572549232">
    <w:abstractNumId w:val="6"/>
  </w:num>
  <w:num w:numId="7" w16cid:durableId="1313950653">
    <w:abstractNumId w:val="5"/>
  </w:num>
  <w:num w:numId="8" w16cid:durableId="126045056">
    <w:abstractNumId w:val="5"/>
  </w:num>
  <w:num w:numId="9" w16cid:durableId="248320813">
    <w:abstractNumId w:val="4"/>
  </w:num>
  <w:num w:numId="10" w16cid:durableId="1604344426">
    <w:abstractNumId w:val="4"/>
  </w:num>
  <w:num w:numId="11" w16cid:durableId="124206337">
    <w:abstractNumId w:val="8"/>
  </w:num>
  <w:num w:numId="12" w16cid:durableId="1006051904">
    <w:abstractNumId w:val="8"/>
  </w:num>
  <w:num w:numId="13" w16cid:durableId="712969818">
    <w:abstractNumId w:val="3"/>
  </w:num>
  <w:num w:numId="14" w16cid:durableId="1451164603">
    <w:abstractNumId w:val="3"/>
  </w:num>
  <w:num w:numId="15" w16cid:durableId="1395661353">
    <w:abstractNumId w:val="2"/>
  </w:num>
  <w:num w:numId="16" w16cid:durableId="425614394">
    <w:abstractNumId w:val="2"/>
  </w:num>
  <w:num w:numId="17" w16cid:durableId="1109198568">
    <w:abstractNumId w:val="1"/>
  </w:num>
  <w:num w:numId="18" w16cid:durableId="828179178">
    <w:abstractNumId w:val="1"/>
  </w:num>
  <w:num w:numId="19" w16cid:durableId="1012563346">
    <w:abstractNumId w:val="0"/>
  </w:num>
  <w:num w:numId="20" w16cid:durableId="447705404">
    <w:abstractNumId w:val="0"/>
  </w:num>
  <w:num w:numId="21" w16cid:durableId="2142648113">
    <w:abstractNumId w:val="9"/>
  </w:num>
  <w:num w:numId="22" w16cid:durableId="1213276733">
    <w:abstractNumId w:val="7"/>
  </w:num>
  <w:num w:numId="23" w16cid:durableId="1475682923">
    <w:abstractNumId w:val="6"/>
  </w:num>
  <w:num w:numId="24" w16cid:durableId="915364904">
    <w:abstractNumId w:val="5"/>
  </w:num>
  <w:num w:numId="25" w16cid:durableId="1335299280">
    <w:abstractNumId w:val="4"/>
  </w:num>
  <w:num w:numId="26" w16cid:durableId="1361082527">
    <w:abstractNumId w:val="8"/>
  </w:num>
  <w:num w:numId="27" w16cid:durableId="2051874327">
    <w:abstractNumId w:val="3"/>
  </w:num>
  <w:num w:numId="28" w16cid:durableId="953826642">
    <w:abstractNumId w:val="2"/>
  </w:num>
  <w:num w:numId="29" w16cid:durableId="780033608">
    <w:abstractNumId w:val="1"/>
  </w:num>
  <w:num w:numId="30" w16cid:durableId="848450393">
    <w:abstractNumId w:val="0"/>
  </w:num>
  <w:num w:numId="31" w16cid:durableId="620041532">
    <w:abstractNumId w:val="9"/>
  </w:num>
  <w:num w:numId="32" w16cid:durableId="2012176280">
    <w:abstractNumId w:val="7"/>
  </w:num>
  <w:num w:numId="33" w16cid:durableId="1847402901">
    <w:abstractNumId w:val="6"/>
  </w:num>
  <w:num w:numId="34" w16cid:durableId="397049244">
    <w:abstractNumId w:val="5"/>
  </w:num>
  <w:num w:numId="35" w16cid:durableId="1721321807">
    <w:abstractNumId w:val="4"/>
  </w:num>
  <w:num w:numId="36" w16cid:durableId="624776103">
    <w:abstractNumId w:val="8"/>
  </w:num>
  <w:num w:numId="37" w16cid:durableId="1267233964">
    <w:abstractNumId w:val="3"/>
  </w:num>
  <w:num w:numId="38" w16cid:durableId="1785885273">
    <w:abstractNumId w:val="2"/>
  </w:num>
  <w:num w:numId="39" w16cid:durableId="2001498702">
    <w:abstractNumId w:val="1"/>
  </w:num>
  <w:num w:numId="40" w16cid:durableId="1377270754">
    <w:abstractNumId w:val="0"/>
  </w:num>
  <w:num w:numId="41" w16cid:durableId="731268982">
    <w:abstractNumId w:val="10"/>
  </w:num>
  <w:num w:numId="42" w16cid:durableId="1109665923">
    <w:abstractNumId w:val="10"/>
  </w:num>
  <w:num w:numId="43" w16cid:durableId="265355763">
    <w:abstractNumId w:val="10"/>
  </w:num>
  <w:num w:numId="44" w16cid:durableId="4157082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7/2026"/>
    <w:docVar w:name="dvlangue" w:val="ES"/>
    <w:docVar w:name="dvnumam" w:val="0"/>
    <w:docVar w:name="dvpe" w:val="784.143"/>
    <w:docVar w:name="dvrapporteur" w:val="Ponente: "/>
    <w:docVar w:name="dvtitre" w:val="Decisión del Parlamento Europeo, de 26 de marzo de 2026, sobre el suplicatorio de suspensión de la inmunidad de Nikos Pappas(2025/2194(IMM))"/>
  </w:docVars>
  <w:rsids>
    <w:rsidRoot w:val="009B2217"/>
    <w:rsid w:val="00002272"/>
    <w:rsid w:val="00064002"/>
    <w:rsid w:val="000677B9"/>
    <w:rsid w:val="000831BA"/>
    <w:rsid w:val="000A42CC"/>
    <w:rsid w:val="000E7DD9"/>
    <w:rsid w:val="000F62B4"/>
    <w:rsid w:val="0010095E"/>
    <w:rsid w:val="00125B37"/>
    <w:rsid w:val="00187494"/>
    <w:rsid w:val="001F32AE"/>
    <w:rsid w:val="002767FF"/>
    <w:rsid w:val="002B18FE"/>
    <w:rsid w:val="002B5493"/>
    <w:rsid w:val="002C48AE"/>
    <w:rsid w:val="003123A6"/>
    <w:rsid w:val="00343214"/>
    <w:rsid w:val="00361C00"/>
    <w:rsid w:val="00376DF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12F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218"/>
    <w:rsid w:val="008C2AC6"/>
    <w:rsid w:val="008D143E"/>
    <w:rsid w:val="00930C23"/>
    <w:rsid w:val="0093193B"/>
    <w:rsid w:val="009509D8"/>
    <w:rsid w:val="00950B64"/>
    <w:rsid w:val="00981893"/>
    <w:rsid w:val="009B221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38B"/>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CD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091D2"/>
  <w15:chartTrackingRefBased/>
  <w15:docId w15:val="{B0945D38-7248-400B-AD0A-E20235D1F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D6CDE"/>
    <w:pPr>
      <w:spacing w:after="240"/>
      <w:ind w:left="567" w:hanging="567"/>
    </w:pPr>
  </w:style>
  <w:style w:type="paragraph" w:customStyle="1" w:styleId="EPComma">
    <w:name w:val="EPComma"/>
    <w:basedOn w:val="Normal"/>
    <w:rsid w:val="00FD6CDE"/>
    <w:pPr>
      <w:spacing w:before="480" w:after="240"/>
    </w:pPr>
  </w:style>
  <w:style w:type="paragraph" w:styleId="Revision">
    <w:name w:val="Revision"/>
    <w:hidden/>
    <w:uiPriority w:val="99"/>
    <w:semiHidden/>
    <w:rsid w:val="003123A6"/>
    <w:rPr>
      <w:sz w:val="24"/>
      <w:lang w:val="es-ES_tradnl"/>
    </w:rPr>
  </w:style>
  <w:style w:type="character" w:styleId="CommentReference">
    <w:name w:val="annotation reference"/>
    <w:basedOn w:val="DefaultParagraphFont"/>
    <w:rsid w:val="003123A6"/>
    <w:rPr>
      <w:sz w:val="16"/>
      <w:szCs w:val="16"/>
    </w:rPr>
  </w:style>
  <w:style w:type="paragraph" w:styleId="CommentText">
    <w:name w:val="annotation text"/>
    <w:basedOn w:val="Normal"/>
    <w:link w:val="CommentTextChar"/>
    <w:rsid w:val="003123A6"/>
    <w:rPr>
      <w:sz w:val="20"/>
    </w:rPr>
  </w:style>
  <w:style w:type="character" w:customStyle="1" w:styleId="CommentTextChar">
    <w:name w:val="Comment Text Char"/>
    <w:basedOn w:val="DefaultParagraphFont"/>
    <w:link w:val="CommentText"/>
    <w:rsid w:val="003123A6"/>
    <w:rPr>
      <w:lang w:val="es-ES_tradnl"/>
    </w:rPr>
  </w:style>
  <w:style w:type="paragraph" w:styleId="CommentSubject">
    <w:name w:val="annotation subject"/>
    <w:basedOn w:val="CommentText"/>
    <w:next w:val="CommentText"/>
    <w:link w:val="CommentSubjectChar"/>
    <w:rsid w:val="003123A6"/>
    <w:rPr>
      <w:b/>
      <w:bCs/>
    </w:rPr>
  </w:style>
  <w:style w:type="character" w:customStyle="1" w:styleId="CommentSubjectChar">
    <w:name w:val="Comment Subject Char"/>
    <w:basedOn w:val="CommentTextChar"/>
    <w:link w:val="CommentSubject"/>
    <w:rsid w:val="003123A6"/>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819</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MLG_EP</dc:creator>
  <cp:keywords/>
  <cp:lastModifiedBy>Fernan Rodriguez (EP)</cp:lastModifiedBy>
  <cp:revision>2</cp:revision>
  <cp:lastPrinted>2004-11-19T15:42:00Z</cp:lastPrinted>
  <dcterms:created xsi:type="dcterms:W3CDTF">2026-03-26T12:33:00Z</dcterms:created>
  <dcterms:modified xsi:type="dcterms:W3CDTF">2026-03-26T12:33:00Z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A10-0077/2026</vt:lpwstr>
  </property>
  <property fmtid="{D5CDD505-2E9C-101B-9397-08002B2CF9AE}" pid="4" name="&lt;Type&gt;">
    <vt:lpwstr>RR</vt:lpwstr>
  </property>
</Properties>
</file>