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1EBB" w14:paraId="1CC804F4" w14:textId="77777777" w:rsidTr="0010095E">
        <w:trPr>
          <w:trHeight w:hRule="exact" w:val="1418"/>
        </w:trPr>
        <w:tc>
          <w:tcPr>
            <w:tcW w:w="6804" w:type="dxa"/>
            <w:shd w:val="clear" w:color="auto" w:fill="auto"/>
            <w:vAlign w:val="center"/>
          </w:tcPr>
          <w:p w14:paraId="53ED6823" w14:textId="77777777" w:rsidR="00751A4A" w:rsidRPr="00EE1EBB" w:rsidRDefault="00FE18DE" w:rsidP="0010095E">
            <w:pPr>
              <w:pStyle w:val="EPName"/>
            </w:pPr>
            <w:r w:rsidRPr="00EE1EBB">
              <w:t>Eiropas Parlaments</w:t>
            </w:r>
          </w:p>
          <w:p w14:paraId="55C0EB1E" w14:textId="77777777" w:rsidR="00751A4A" w:rsidRPr="00EE1EBB" w:rsidRDefault="005F1B17" w:rsidP="005F1B17">
            <w:pPr>
              <w:pStyle w:val="EPTerm"/>
              <w:rPr>
                <w:rStyle w:val="HideTWBExt"/>
                <w:noProof w:val="0"/>
                <w:vanish w:val="0"/>
                <w:color w:val="auto"/>
              </w:rPr>
            </w:pPr>
            <w:r w:rsidRPr="00EE1EBB">
              <w:t>2024</w:t>
            </w:r>
            <w:r w:rsidR="00817416" w:rsidRPr="00EE1EBB">
              <w:t>-202</w:t>
            </w:r>
            <w:r w:rsidRPr="00EE1EBB">
              <w:t>9</w:t>
            </w:r>
          </w:p>
        </w:tc>
        <w:tc>
          <w:tcPr>
            <w:tcW w:w="2268" w:type="dxa"/>
            <w:shd w:val="clear" w:color="auto" w:fill="auto"/>
          </w:tcPr>
          <w:p w14:paraId="6508C705" w14:textId="77777777" w:rsidR="00751A4A" w:rsidRPr="00EE1EBB" w:rsidRDefault="00187494" w:rsidP="0010095E">
            <w:pPr>
              <w:pStyle w:val="EPLogo"/>
            </w:pPr>
            <w:r w:rsidRPr="00EE1EBB">
              <w:rPr>
                <w:noProof/>
                <w:lang w:eastAsia="ja-JP"/>
              </w:rPr>
              <w:drawing>
                <wp:inline distT="0" distB="0" distL="0" distR="0" wp14:anchorId="5A318398" wp14:editId="389236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72BAF7" w14:textId="77777777" w:rsidR="00D058B8" w:rsidRPr="00EE1EBB" w:rsidRDefault="00D058B8" w:rsidP="004C5D52">
      <w:pPr>
        <w:pStyle w:val="LineTop"/>
      </w:pPr>
    </w:p>
    <w:p w14:paraId="0C7B63A9" w14:textId="77777777" w:rsidR="00680577" w:rsidRPr="00EE1EBB" w:rsidRDefault="00FE18DE" w:rsidP="00680577">
      <w:pPr>
        <w:pStyle w:val="EPBodyTA1"/>
      </w:pPr>
      <w:r w:rsidRPr="00EE1EBB">
        <w:t>PIEŅEMTIE TEKSTI</w:t>
      </w:r>
    </w:p>
    <w:p w14:paraId="74AAFA45" w14:textId="77777777" w:rsidR="00D058B8" w:rsidRPr="00EE1EBB" w:rsidRDefault="00D058B8" w:rsidP="00D058B8">
      <w:pPr>
        <w:pStyle w:val="LineBottom"/>
      </w:pPr>
    </w:p>
    <w:p w14:paraId="5E502BE4" w14:textId="491A829C" w:rsidR="00FE18DE" w:rsidRPr="00EE1EBB" w:rsidRDefault="00FE18DE" w:rsidP="00FE18DE">
      <w:pPr>
        <w:pStyle w:val="ATHeading1"/>
      </w:pPr>
      <w:bookmarkStart w:id="0" w:name="TANumber"/>
      <w:r w:rsidRPr="00EE1EBB">
        <w:t>P10_TA(2026)00</w:t>
      </w:r>
      <w:bookmarkEnd w:id="0"/>
      <w:r w:rsidR="00EE1EBB" w:rsidRPr="00EE1EBB">
        <w:t>89</w:t>
      </w:r>
    </w:p>
    <w:p w14:paraId="44B0A95D" w14:textId="54C23AFD" w:rsidR="00FE18DE" w:rsidRPr="00EE1EBB" w:rsidRDefault="00C11FC7" w:rsidP="00FE18DE">
      <w:pPr>
        <w:pStyle w:val="ATHeading2"/>
      </w:pPr>
      <w:r w:rsidRPr="00EE1EBB">
        <w:t xml:space="preserve">Pieprasījums atcelt </w:t>
      </w:r>
      <w:r w:rsidRPr="00EE1EBB">
        <w:rPr>
          <w:i/>
          <w:iCs/>
        </w:rPr>
        <w:t xml:space="preserve">Nikos </w:t>
      </w:r>
      <w:proofErr w:type="spellStart"/>
      <w:r w:rsidRPr="00EE1EBB">
        <w:rPr>
          <w:i/>
          <w:iCs/>
        </w:rPr>
        <w:t>Pappas</w:t>
      </w:r>
      <w:proofErr w:type="spellEnd"/>
      <w:r w:rsidRPr="00EE1EBB">
        <w:t xml:space="preserve"> imunitāti </w:t>
      </w:r>
    </w:p>
    <w:p w14:paraId="485E1EF7" w14:textId="77777777" w:rsidR="00FE18DE" w:rsidRPr="00EE1EBB" w:rsidRDefault="00FE18DE" w:rsidP="00FE18DE">
      <w:pPr>
        <w:rPr>
          <w:i/>
          <w:vanish/>
        </w:rPr>
      </w:pPr>
      <w:r w:rsidRPr="00EE1EBB">
        <w:rPr>
          <w:i/>
        </w:rPr>
        <w:fldChar w:fldCharType="begin"/>
      </w:r>
      <w:r w:rsidRPr="00EE1EBB">
        <w:rPr>
          <w:i/>
        </w:rPr>
        <w:instrText xml:space="preserve"> TC"(</w:instrText>
      </w:r>
      <w:bookmarkStart w:id="1" w:name="DocNumber"/>
      <w:r w:rsidRPr="00EE1EBB">
        <w:rPr>
          <w:i/>
        </w:rPr>
        <w:instrText>A10-0077/2026</w:instrText>
      </w:r>
      <w:bookmarkEnd w:id="1"/>
      <w:r w:rsidRPr="00EE1EBB">
        <w:rPr>
          <w:i/>
        </w:rPr>
        <w:instrText xml:space="preserve"> - Referents: </w:instrText>
      </w:r>
      <w:proofErr w:type="spellStart"/>
      <w:r w:rsidRPr="00EE1EBB">
        <w:rPr>
          <w:i/>
        </w:rPr>
        <w:instrText>Krzysztof</w:instrText>
      </w:r>
      <w:proofErr w:type="spellEnd"/>
      <w:r w:rsidRPr="00EE1EBB">
        <w:rPr>
          <w:i/>
        </w:rPr>
        <w:instrText xml:space="preserve"> </w:instrText>
      </w:r>
      <w:proofErr w:type="spellStart"/>
      <w:r w:rsidRPr="00EE1EBB">
        <w:rPr>
          <w:i/>
        </w:rPr>
        <w:instrText>Śmiszek</w:instrText>
      </w:r>
      <w:proofErr w:type="spellEnd"/>
      <w:r w:rsidRPr="00EE1EBB">
        <w:rPr>
          <w:i/>
        </w:rPr>
        <w:instrText xml:space="preserve">)"\l3 \n&gt; \* MERGEFORMAT </w:instrText>
      </w:r>
      <w:r w:rsidRPr="00EE1EBB">
        <w:rPr>
          <w:i/>
        </w:rPr>
        <w:fldChar w:fldCharType="end"/>
      </w:r>
    </w:p>
    <w:p w14:paraId="5DD6BCD3" w14:textId="77777777" w:rsidR="00FE18DE" w:rsidRPr="00EE1EBB" w:rsidRDefault="00FE18DE" w:rsidP="00FE18DE">
      <w:pPr>
        <w:rPr>
          <w:vanish/>
        </w:rPr>
      </w:pPr>
      <w:bookmarkStart w:id="2" w:name="Commission"/>
      <w:r w:rsidRPr="00EE1EBB">
        <w:rPr>
          <w:vanish/>
        </w:rPr>
        <w:t>Juridiskā komiteja</w:t>
      </w:r>
      <w:bookmarkEnd w:id="2"/>
    </w:p>
    <w:p w14:paraId="1216D55A" w14:textId="77777777" w:rsidR="00FE18DE" w:rsidRPr="00EE1EBB" w:rsidRDefault="00FE18DE" w:rsidP="00FE18DE">
      <w:pPr>
        <w:rPr>
          <w:vanish/>
        </w:rPr>
      </w:pPr>
      <w:bookmarkStart w:id="3" w:name="PE"/>
      <w:r w:rsidRPr="00EE1EBB">
        <w:rPr>
          <w:vanish/>
        </w:rPr>
        <w:t>PE784.143</w:t>
      </w:r>
      <w:bookmarkEnd w:id="3"/>
    </w:p>
    <w:p w14:paraId="1103AA5A" w14:textId="4BD11F5B" w:rsidR="00FE18DE" w:rsidRPr="00EE1EBB" w:rsidRDefault="00FE18DE" w:rsidP="00FE18DE">
      <w:pPr>
        <w:pStyle w:val="ATHeading3"/>
      </w:pPr>
      <w:bookmarkStart w:id="4" w:name="Sujet"/>
      <w:r w:rsidRPr="00EE1EBB">
        <w:t xml:space="preserve">Eiropas Parlamenta 2026. gada </w:t>
      </w:r>
      <w:r w:rsidR="00C11FC7" w:rsidRPr="00EE1EBB">
        <w:t>26</w:t>
      </w:r>
      <w:r w:rsidRPr="00EE1EBB">
        <w:t xml:space="preserve">. </w:t>
      </w:r>
      <w:r w:rsidR="00C11FC7" w:rsidRPr="00EE1EBB">
        <w:t>marta</w:t>
      </w:r>
      <w:r w:rsidRPr="00EE1EBB">
        <w:t xml:space="preserve"> lēmums par pieprasījumu atcelt </w:t>
      </w:r>
      <w:r w:rsidRPr="00EE1EBB">
        <w:rPr>
          <w:i/>
          <w:iCs/>
        </w:rPr>
        <w:t xml:space="preserve">Nikos </w:t>
      </w:r>
      <w:proofErr w:type="spellStart"/>
      <w:r w:rsidRPr="00EE1EBB">
        <w:rPr>
          <w:i/>
          <w:iCs/>
        </w:rPr>
        <w:t>Pappas</w:t>
      </w:r>
      <w:proofErr w:type="spellEnd"/>
      <w:r w:rsidRPr="00EE1EBB">
        <w:t xml:space="preserve"> imunitāti</w:t>
      </w:r>
      <w:bookmarkEnd w:id="4"/>
      <w:r w:rsidRPr="00EE1EBB">
        <w:t xml:space="preserve"> </w:t>
      </w:r>
      <w:bookmarkStart w:id="5" w:name="References"/>
      <w:r w:rsidRPr="00EE1EBB">
        <w:t>(2025/2194(IMM))</w:t>
      </w:r>
      <w:bookmarkEnd w:id="5"/>
    </w:p>
    <w:p w14:paraId="70294EAA" w14:textId="77777777" w:rsidR="007F7E71" w:rsidRPr="00EE1EBB" w:rsidRDefault="007F7E71" w:rsidP="007F7E71">
      <w:pPr>
        <w:pStyle w:val="EPComma"/>
      </w:pPr>
      <w:bookmarkStart w:id="6" w:name="TextBodyBegin"/>
      <w:bookmarkEnd w:id="6"/>
      <w:r w:rsidRPr="00EE1EBB">
        <w:rPr>
          <w:i/>
        </w:rPr>
        <w:t>Eiropas Parlaments</w:t>
      </w:r>
      <w:r w:rsidRPr="00EE1EBB">
        <w:t>,</w:t>
      </w:r>
    </w:p>
    <w:p w14:paraId="7BBBB2E2" w14:textId="77777777" w:rsidR="007F7E71" w:rsidRPr="00EE1EBB" w:rsidRDefault="007F7E71" w:rsidP="007F7E71">
      <w:pPr>
        <w:pStyle w:val="NormalHanging12a"/>
      </w:pPr>
      <w:r w:rsidRPr="00EE1EBB">
        <w:t>–</w:t>
      </w:r>
      <w:r w:rsidRPr="00EE1EBB">
        <w:tab/>
        <w:t xml:space="preserve">ņemot vērā pieprasījumu atcelt </w:t>
      </w:r>
      <w:r w:rsidRPr="00EE1EBB">
        <w:rPr>
          <w:i/>
          <w:iCs/>
        </w:rPr>
        <w:t xml:space="preserve">Nikos </w:t>
      </w:r>
      <w:proofErr w:type="spellStart"/>
      <w:r w:rsidRPr="00EE1EBB">
        <w:rPr>
          <w:i/>
          <w:iCs/>
        </w:rPr>
        <w:t>Pappas</w:t>
      </w:r>
      <w:proofErr w:type="spellEnd"/>
      <w:r w:rsidRPr="00EE1EBB">
        <w:t xml:space="preserve"> imunitāti, kas saņemts ar Grieķijas Republikas Augstākās tiesas Ģenerālprokuratūras 2025. gada 10. septembra vēstuli, ar kuru nosūtīts Atēnu Pirmās instances tiesas prokurora pieprasījums saistībā ar pret </w:t>
      </w:r>
      <w:r w:rsidRPr="00EE1EBB">
        <w:rPr>
          <w:i/>
          <w:iCs/>
        </w:rPr>
        <w:t xml:space="preserve">Nikos </w:t>
      </w:r>
      <w:proofErr w:type="spellStart"/>
      <w:r w:rsidRPr="00EE1EBB">
        <w:rPr>
          <w:i/>
          <w:iCs/>
        </w:rPr>
        <w:t>Pappas</w:t>
      </w:r>
      <w:proofErr w:type="spellEnd"/>
      <w:r w:rsidRPr="00EE1EBB">
        <w:t xml:space="preserve"> ierosināto kriminālprocesu, un par ko paziņots Parlamentā 2025. gada 6. oktobrī,</w:t>
      </w:r>
    </w:p>
    <w:p w14:paraId="6ACA944A" w14:textId="77777777" w:rsidR="007F7E71" w:rsidRPr="00EE1EBB" w:rsidRDefault="007F7E71" w:rsidP="007F7E71">
      <w:pPr>
        <w:pStyle w:val="NormalHanging12a"/>
      </w:pPr>
      <w:r w:rsidRPr="00EE1EBB">
        <w:t>–</w:t>
      </w:r>
      <w:r w:rsidRPr="00EE1EBB">
        <w:tab/>
        <w:t xml:space="preserve">pēc </w:t>
      </w:r>
      <w:r w:rsidRPr="00EE1EBB">
        <w:rPr>
          <w:i/>
          <w:iCs/>
        </w:rPr>
        <w:t xml:space="preserve">Nikos </w:t>
      </w:r>
      <w:proofErr w:type="spellStart"/>
      <w:r w:rsidRPr="00EE1EBB">
        <w:rPr>
          <w:i/>
          <w:iCs/>
        </w:rPr>
        <w:t>Pappas</w:t>
      </w:r>
      <w:proofErr w:type="spellEnd"/>
      <w:r w:rsidRPr="00EE1EBB">
        <w:t xml:space="preserve"> uzklausīšanas 2026. gada 28. janvārī saskaņā ar Reglamenta 9. panta 6. punktu,</w:t>
      </w:r>
    </w:p>
    <w:p w14:paraId="78A7D563" w14:textId="77777777" w:rsidR="007F7E71" w:rsidRPr="00EE1EBB" w:rsidRDefault="007F7E71" w:rsidP="007F7E71">
      <w:pPr>
        <w:pStyle w:val="NormalHanging12a"/>
      </w:pPr>
      <w:r w:rsidRPr="00EE1EBB">
        <w:t>–</w:t>
      </w:r>
      <w:r w:rsidRPr="00EE1EBB">
        <w:tab/>
        <w:t>ņemot vērā Protokola Nr. 7 par privilēģijām un imunitāti Eiropas Savienībā 8. un 9. pantu, kā arī 1976. gada 20. septembra Akta par Eiropas Parlamenta deputātu ievēlēšanu tiešās vispārējās vēlēšanās 6. panta 2. punktu,</w:t>
      </w:r>
    </w:p>
    <w:p w14:paraId="59B23691" w14:textId="25D6436C" w:rsidR="007F7E71" w:rsidRPr="00EE1EBB" w:rsidRDefault="007F7E71" w:rsidP="007F7E71">
      <w:pPr>
        <w:pStyle w:val="NormalHanging12a"/>
      </w:pPr>
      <w:r w:rsidRPr="00EE1EBB">
        <w:t>–</w:t>
      </w:r>
      <w:r w:rsidRPr="00EE1EBB">
        <w:tab/>
        <w:t>ņemot vērā Eiropas Savienības Tiesas 2008. gada 21. oktobra, 2010. gada 19. marta, 2011. gada 6. septembra, 2013. gada 17. janvāra</w:t>
      </w:r>
      <w:r w:rsidR="00C11FC7" w:rsidRPr="00EE1EBB">
        <w:t xml:space="preserve"> un</w:t>
      </w:r>
      <w:r w:rsidRPr="00EE1EBB">
        <w:t xml:space="preserve"> 2019. gada 19. decembra spriedumu</w:t>
      </w:r>
      <w:r w:rsidRPr="00EE1EBB">
        <w:rPr>
          <w:vertAlign w:val="superscript"/>
        </w:rPr>
        <w:footnoteReference w:id="1"/>
      </w:r>
      <w:r w:rsidRPr="00EE1EBB">
        <w:t>,</w:t>
      </w:r>
    </w:p>
    <w:p w14:paraId="24E43F68" w14:textId="77777777" w:rsidR="007F7E71" w:rsidRPr="00EE1EBB" w:rsidRDefault="007F7E71" w:rsidP="007F7E71">
      <w:pPr>
        <w:pStyle w:val="NormalHanging12a"/>
      </w:pPr>
      <w:r w:rsidRPr="00EE1EBB">
        <w:t>–</w:t>
      </w:r>
      <w:r w:rsidRPr="00EE1EBB">
        <w:tab/>
        <w:t>ņemot vērā Reglamenta 5. panta 2. punktu, 6. panta 1. punktu un 9. pantu,</w:t>
      </w:r>
    </w:p>
    <w:p w14:paraId="63612D61" w14:textId="77777777" w:rsidR="007F7E71" w:rsidRPr="00EE1EBB" w:rsidRDefault="007F7E71" w:rsidP="007F7E71">
      <w:pPr>
        <w:pStyle w:val="NormalHanging12a"/>
      </w:pPr>
      <w:r w:rsidRPr="00EE1EBB">
        <w:t>–</w:t>
      </w:r>
      <w:r w:rsidRPr="00EE1EBB">
        <w:tab/>
        <w:t>ņemot vērā Juridiskās komitejas ziņojumu (A10-0077/2026),</w:t>
      </w:r>
    </w:p>
    <w:p w14:paraId="2216CFB6" w14:textId="08AEA1D2" w:rsidR="007F7E71" w:rsidRPr="00EE1EBB" w:rsidRDefault="007F7E71" w:rsidP="007F7E71">
      <w:pPr>
        <w:pStyle w:val="NormalHanging12a"/>
      </w:pPr>
      <w:r w:rsidRPr="00EE1EBB">
        <w:t>A.</w:t>
      </w:r>
      <w:r w:rsidRPr="00EE1EBB">
        <w:tab/>
        <w:t xml:space="preserve">tā kā </w:t>
      </w:r>
      <w:r w:rsidR="00C46814" w:rsidRPr="00EE1EBB">
        <w:t xml:space="preserve">ar 2025. gada 10. septembra vēstuli </w:t>
      </w:r>
      <w:r w:rsidRPr="00EE1EBB">
        <w:t xml:space="preserve">Grieķijas Republikas Augstākās tiesas </w:t>
      </w:r>
      <w:r w:rsidRPr="00EE1EBB">
        <w:lastRenderedPageBreak/>
        <w:t xml:space="preserve">Ģenerālprokuratūra ir nosūtījusi Atēnu Pirmās instances tiesas prokurora pieprasījumu atcelt </w:t>
      </w:r>
      <w:r w:rsidR="00886A8A" w:rsidRPr="00EE1EBB">
        <w:t xml:space="preserve">Grieķijas Republikā ievēlētā </w:t>
      </w:r>
      <w:r w:rsidRPr="00EE1EBB">
        <w:t xml:space="preserve">Eiropas Parlamenta deputāta </w:t>
      </w:r>
      <w:r w:rsidRPr="00EE1EBB">
        <w:rPr>
          <w:i/>
          <w:iCs/>
        </w:rPr>
        <w:t xml:space="preserve">Nikos </w:t>
      </w:r>
      <w:proofErr w:type="spellStart"/>
      <w:r w:rsidRPr="00EE1EBB">
        <w:rPr>
          <w:i/>
          <w:iCs/>
        </w:rPr>
        <w:t>Pappas</w:t>
      </w:r>
      <w:proofErr w:type="spellEnd"/>
      <w:r w:rsidRPr="00EE1EBB">
        <w:t xml:space="preserve"> imunitāti saistībā ar iespējamām neslavas celšanas un goda aizskaršanas darbībām, kas ir noziedzīgi nodarījumi saskaņā ar Grieķijas Kriminālkodeksa 361. panta 1. punktu un 363. pantu — noziedzīgas darbības, kas uzskatāmas par vidēji smagu noziegumu;</w:t>
      </w:r>
    </w:p>
    <w:p w14:paraId="602B3B0D" w14:textId="77777777" w:rsidR="007F7E71" w:rsidRPr="00EE1EBB" w:rsidRDefault="007F7E71" w:rsidP="007F7E71">
      <w:pPr>
        <w:pStyle w:val="NormalHanging12a"/>
      </w:pPr>
      <w:r w:rsidRPr="00EE1EBB">
        <w:t>B.</w:t>
      </w:r>
      <w:r w:rsidRPr="00EE1EBB">
        <w:tab/>
        <w:t xml:space="preserve">tā kā no pieprasījuma izriet, ka apsūdzībā ir norādīts, ka intervijā tiešsaistes raidījumam </w:t>
      </w:r>
      <w:r w:rsidRPr="00EE1EBB">
        <w:rPr>
          <w:i/>
          <w:iCs/>
        </w:rPr>
        <w:t xml:space="preserve">Nikos </w:t>
      </w:r>
      <w:proofErr w:type="spellStart"/>
      <w:r w:rsidRPr="00EE1EBB">
        <w:rPr>
          <w:i/>
          <w:iCs/>
        </w:rPr>
        <w:t>Pappas</w:t>
      </w:r>
      <w:proofErr w:type="spellEnd"/>
      <w:r w:rsidRPr="00EE1EBB">
        <w:t xml:space="preserve">, iespējams, trešo personu klātbūtnē izteica nepatiesus un apmelojošus apgalvojumus par žurnālistu, tīši aizskarot viņa godu; tā kā pastāv aizdomas, ka </w:t>
      </w:r>
      <w:r w:rsidRPr="00EE1EBB">
        <w:rPr>
          <w:i/>
          <w:iCs/>
        </w:rPr>
        <w:t xml:space="preserve">Nikos </w:t>
      </w:r>
      <w:proofErr w:type="spellStart"/>
      <w:r w:rsidRPr="00EE1EBB">
        <w:rPr>
          <w:i/>
          <w:iCs/>
        </w:rPr>
        <w:t>Pappas</w:t>
      </w:r>
      <w:proofErr w:type="spellEnd"/>
      <w:r w:rsidRPr="00EE1EBB">
        <w:t xml:space="preserve"> šos nodarījumus ir izdarījis Atēnās 2024. gada 20. martā;</w:t>
      </w:r>
    </w:p>
    <w:p w14:paraId="75855BEE" w14:textId="77777777" w:rsidR="007F7E71" w:rsidRPr="00EE1EBB" w:rsidRDefault="007F7E71" w:rsidP="007F7E71">
      <w:pPr>
        <w:pStyle w:val="NormalHanging12a"/>
      </w:pPr>
      <w:r w:rsidRPr="00EE1EBB">
        <w:t>C.</w:t>
      </w:r>
      <w:r w:rsidRPr="00EE1EBB">
        <w:tab/>
        <w:t xml:space="preserve">tā kā 2024. gada jūnija Eiropas vēlēšanās </w:t>
      </w:r>
      <w:r w:rsidRPr="00EE1EBB">
        <w:rPr>
          <w:i/>
          <w:iCs/>
        </w:rPr>
        <w:t xml:space="preserve">Nikos </w:t>
      </w:r>
      <w:proofErr w:type="spellStart"/>
      <w:r w:rsidRPr="00EE1EBB">
        <w:rPr>
          <w:i/>
          <w:iCs/>
        </w:rPr>
        <w:t>Pappas</w:t>
      </w:r>
      <w:proofErr w:type="spellEnd"/>
      <w:r w:rsidRPr="00EE1EBB">
        <w:t xml:space="preserve"> tika ievēlēts Eiropas Parlamentā un tā kā iespējamā noziedzīgā nodarījuma izdarīšanas laikā viņš nebija Eiropas Parlamenta deputāts; tā kā pret viņu izvirzītā apsūdzība ir datēta ar 2024. gada 10. jūniju;</w:t>
      </w:r>
    </w:p>
    <w:p w14:paraId="18249D1E" w14:textId="77777777" w:rsidR="007F7E71" w:rsidRPr="00EE1EBB" w:rsidRDefault="007F7E71" w:rsidP="007F7E71">
      <w:pPr>
        <w:pStyle w:val="NormalHanging12a"/>
      </w:pPr>
      <w:r w:rsidRPr="00EE1EBB">
        <w:t>D.</w:t>
      </w:r>
      <w:r w:rsidRPr="00EE1EBB">
        <w:tab/>
        <w:t xml:space="preserve">tā kā inkriminētais nodarījums un no tā izrietošais pieprasījums atcelt </w:t>
      </w:r>
      <w:r w:rsidRPr="00EE1EBB">
        <w:rPr>
          <w:i/>
          <w:iCs/>
        </w:rPr>
        <w:t xml:space="preserve">Nikos </w:t>
      </w:r>
      <w:proofErr w:type="spellStart"/>
      <w:r w:rsidRPr="00EE1EBB">
        <w:rPr>
          <w:i/>
          <w:iCs/>
        </w:rPr>
        <w:t>Pappas</w:t>
      </w:r>
      <w:proofErr w:type="spellEnd"/>
      <w:r w:rsidRPr="00EE1EBB">
        <w:t xml:space="preserve"> imunitāti nav saistīti nedz ar viedokli, kuru viņš būtu paudis, nedz ar balsojumu, kuru viņš būtu veicis, pildot savus pienākumus Protokola Nr. 7 par privilēģijām un imunitāti Eiropas Savienībā 8. panta nozīmē;</w:t>
      </w:r>
    </w:p>
    <w:p w14:paraId="4FAC51DA" w14:textId="0FD5F10D" w:rsidR="007F7E71" w:rsidRPr="00EE1EBB" w:rsidRDefault="007F7E71" w:rsidP="007F7E71">
      <w:pPr>
        <w:pStyle w:val="NormalHanging12a"/>
      </w:pPr>
      <w:r w:rsidRPr="00EE1EBB">
        <w:t>E.</w:t>
      </w:r>
      <w:r w:rsidRPr="00EE1EBB">
        <w:tab/>
        <w:t xml:space="preserve">tā kā saskaņā ar Protokola Nr. 7 par privilēģijām un imunitāti Eiropas Savienībā 9. panta pirmās daļas a) punktu Eiropas Parlamenta locekļiem savā valstī ir imunitāte, ko piešķir attiecīgās </w:t>
      </w:r>
      <w:r w:rsidR="00C46814" w:rsidRPr="00EE1EBB">
        <w:t>dalīb</w:t>
      </w:r>
      <w:r w:rsidRPr="00EE1EBB">
        <w:t>valsts parlamenta locekļiem;</w:t>
      </w:r>
    </w:p>
    <w:p w14:paraId="20CCFCC0" w14:textId="77777777" w:rsidR="007F7E71" w:rsidRPr="00EE1EBB" w:rsidRDefault="007F7E71" w:rsidP="007F7E71">
      <w:pPr>
        <w:pStyle w:val="NormalHanging12a"/>
      </w:pPr>
      <w:r w:rsidRPr="00EE1EBB">
        <w:t>F.</w:t>
      </w:r>
      <w:r w:rsidRPr="00EE1EBB">
        <w:tab/>
        <w:t>tā kā saskaņā ar Grieķijas Republikas Konstitūcijas 62. pantu nevienu deputātu viņa pilnvaru laikā nevar saukt pie kriminālatbildības, arestēt, apcietināt vai pakļaut citiem pasākumiem, kas ir saistīti ar brīvības atņemšanu, bez Deputātu palātas atļaujas;</w:t>
      </w:r>
    </w:p>
    <w:p w14:paraId="73092272" w14:textId="2E82B0DC" w:rsidR="007F7E71" w:rsidRPr="00EE1EBB" w:rsidRDefault="007F7E71" w:rsidP="007F7E71">
      <w:pPr>
        <w:pStyle w:val="NormalHanging12a"/>
      </w:pPr>
      <w:r w:rsidRPr="00EE1EBB">
        <w:t>G.</w:t>
      </w:r>
      <w:r w:rsidRPr="00EE1EBB">
        <w:tab/>
        <w:t xml:space="preserve">tā kā Protokola Nr. 7 par imunitāti un privilēģijām Eiropas Savienībā paredzētās imunitātes mērķis ir aizsargāt Parlamentu un tā deputātus pret juridiskiem procesiem, kas tiek ierosināti par darbībām, kuras ir veiktas, pildot parlamentāros pienākumus, un kuras atrauti no </w:t>
      </w:r>
      <w:r w:rsidR="00886A8A" w:rsidRPr="00EE1EBB">
        <w:t xml:space="preserve">minētajiem </w:t>
      </w:r>
      <w:r w:rsidRPr="00EE1EBB">
        <w:t>pienākumiem skatīt nevar;</w:t>
      </w:r>
    </w:p>
    <w:p w14:paraId="407B614E" w14:textId="66C7AAE8" w:rsidR="007F7E71" w:rsidRPr="00EE1EBB" w:rsidRDefault="007F7E71" w:rsidP="007F7E71">
      <w:pPr>
        <w:pStyle w:val="NormalHanging12a"/>
      </w:pPr>
      <w:r w:rsidRPr="00EE1EBB">
        <w:t>H.</w:t>
      </w:r>
      <w:r w:rsidRPr="00EE1EBB">
        <w:tab/>
        <w:t>tā kā saskaņā ar Parlamenta Reglamenta 5. panta 2. punktu deputāta imunitāte nav deputāta person</w:t>
      </w:r>
      <w:r w:rsidR="00886A8A" w:rsidRPr="00EE1EBB">
        <w:t>īgā</w:t>
      </w:r>
      <w:r w:rsidRPr="00EE1EBB">
        <w:t xml:space="preserve"> privilēģija, bet gan visa Parlamenta un tā deputātu neatkarības garantija;</w:t>
      </w:r>
    </w:p>
    <w:p w14:paraId="5850CAC5" w14:textId="77777777" w:rsidR="007F7E71" w:rsidRPr="00EE1EBB" w:rsidRDefault="007F7E71" w:rsidP="007F7E71">
      <w:pPr>
        <w:pStyle w:val="NormalHanging12a"/>
      </w:pPr>
      <w:r w:rsidRPr="00EE1EBB">
        <w:t>I.</w:t>
      </w:r>
      <w:r w:rsidRPr="00EE1EBB">
        <w:tab/>
        <w:t xml:space="preserve">tā kā šajā lietā Parlaments nav guvis pierādījumus par </w:t>
      </w:r>
      <w:proofErr w:type="spellStart"/>
      <w:r w:rsidRPr="00EE1EBB">
        <w:rPr>
          <w:i/>
          <w:iCs/>
        </w:rPr>
        <w:t>fumus</w:t>
      </w:r>
      <w:proofErr w:type="spellEnd"/>
      <w:r w:rsidRPr="00EE1EBB">
        <w:rPr>
          <w:i/>
          <w:iCs/>
        </w:rPr>
        <w:t xml:space="preserve"> </w:t>
      </w:r>
      <w:proofErr w:type="spellStart"/>
      <w:r w:rsidRPr="00EE1EBB">
        <w:rPr>
          <w:i/>
          <w:iCs/>
        </w:rPr>
        <w:t>persecutionis</w:t>
      </w:r>
      <w:proofErr w:type="spellEnd"/>
      <w:r w:rsidRPr="00EE1EBB">
        <w:t>, t.i., ziņas par faktiem, ka attiecīgā kriminālprocesa ierosināšanas īstenais mērķis varētu būt kaitēt konkrētā deputāta politiskajai darbībai Eiropas Parlamenta deputāta statusā;</w:t>
      </w:r>
    </w:p>
    <w:p w14:paraId="2E7FD4D0" w14:textId="77777777" w:rsidR="007F7E71" w:rsidRPr="00EE1EBB" w:rsidRDefault="007F7E71" w:rsidP="007F7E71">
      <w:pPr>
        <w:pStyle w:val="NormalHanging12a"/>
      </w:pPr>
      <w:r w:rsidRPr="00EE1EBB">
        <w:t>J.</w:t>
      </w:r>
      <w:r w:rsidRPr="00EE1EBB">
        <w:tab/>
        <w:t>tā kā, no vienas puses, Parlaments nevar tikt pielīdzināts tiesai un, no otras puses, deputāts imunitātes atcelšanas procedūras kontekstā nevar tikt uzskatīts par apsūdzēto</w:t>
      </w:r>
      <w:r w:rsidRPr="00EE1EBB">
        <w:rPr>
          <w:vertAlign w:val="superscript"/>
        </w:rPr>
        <w:footnoteReference w:id="2"/>
      </w:r>
      <w:r w:rsidRPr="00EE1EBB">
        <w:t>,</w:t>
      </w:r>
    </w:p>
    <w:p w14:paraId="791402F4" w14:textId="77777777" w:rsidR="007F7E71" w:rsidRPr="00EE1EBB" w:rsidRDefault="007F7E71" w:rsidP="007F7E71">
      <w:pPr>
        <w:pStyle w:val="NormalHanging12a"/>
      </w:pPr>
      <w:r w:rsidRPr="00EE1EBB">
        <w:t>1.</w:t>
      </w:r>
      <w:r w:rsidRPr="00EE1EBB">
        <w:tab/>
        <w:t xml:space="preserve">nolemj atcelt </w:t>
      </w:r>
      <w:r w:rsidRPr="00EE1EBB">
        <w:rPr>
          <w:i/>
          <w:iCs/>
        </w:rPr>
        <w:t xml:space="preserve">Nikos </w:t>
      </w:r>
      <w:proofErr w:type="spellStart"/>
      <w:r w:rsidRPr="00EE1EBB">
        <w:rPr>
          <w:i/>
          <w:iCs/>
        </w:rPr>
        <w:t>Pappas</w:t>
      </w:r>
      <w:proofErr w:type="spellEnd"/>
      <w:r w:rsidRPr="00EE1EBB">
        <w:t xml:space="preserve"> imunitāti;</w:t>
      </w:r>
    </w:p>
    <w:p w14:paraId="0FC25137" w14:textId="00517D55" w:rsidR="00C76821" w:rsidRPr="00EE1EBB" w:rsidRDefault="007F7E71" w:rsidP="00C76821">
      <w:pPr>
        <w:pStyle w:val="NormalHanging12a"/>
      </w:pPr>
      <w:r w:rsidRPr="00EE1EBB">
        <w:t>2.</w:t>
      </w:r>
      <w:r w:rsidRPr="00EE1EBB">
        <w:tab/>
        <w:t xml:space="preserve">uzdod priekšsēdētājai šo lēmumu un atbildīgās komitejas ziņojumu nekavējoties nosūtīt </w:t>
      </w:r>
      <w:r w:rsidRPr="00EE1EBB">
        <w:lastRenderedPageBreak/>
        <w:t>Grieķijas Republikas kompetenta</w:t>
      </w:r>
      <w:r w:rsidR="00AD5264" w:rsidRPr="00EE1EBB">
        <w:t>jai</w:t>
      </w:r>
      <w:r w:rsidRPr="00EE1EBB">
        <w:t xml:space="preserve"> iestād</w:t>
      </w:r>
      <w:r w:rsidR="002A0C86" w:rsidRPr="00EE1EBB">
        <w:t>ei</w:t>
      </w:r>
      <w:r w:rsidRPr="00EE1EBB">
        <w:t xml:space="preserve"> un </w:t>
      </w:r>
      <w:r w:rsidRPr="00EE1EBB">
        <w:rPr>
          <w:i/>
          <w:iCs/>
        </w:rPr>
        <w:t xml:space="preserve">Nikos </w:t>
      </w:r>
      <w:proofErr w:type="spellStart"/>
      <w:r w:rsidRPr="00EE1EBB">
        <w:rPr>
          <w:i/>
          <w:iCs/>
        </w:rPr>
        <w:t>Pappas</w:t>
      </w:r>
      <w:proofErr w:type="spellEnd"/>
      <w:r w:rsidRPr="00EE1EBB">
        <w:t>.</w:t>
      </w:r>
    </w:p>
    <w:p w14:paraId="0016B598" w14:textId="0A1EEBA1" w:rsidR="00E365E1" w:rsidRPr="00EE1EBB" w:rsidRDefault="00E365E1" w:rsidP="00FE18DE"/>
    <w:sectPr w:rsidR="00E365E1" w:rsidRPr="00EE1EBB" w:rsidSect="00C768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92E4F" w14:textId="77777777" w:rsidR="00FE18DE" w:rsidRPr="00C76821" w:rsidRDefault="00FE18DE">
      <w:r w:rsidRPr="00C76821">
        <w:separator/>
      </w:r>
    </w:p>
  </w:endnote>
  <w:endnote w:type="continuationSeparator" w:id="0">
    <w:p w14:paraId="1787EE75" w14:textId="77777777" w:rsidR="00FE18DE" w:rsidRPr="00C76821" w:rsidRDefault="00FE18DE">
      <w:r w:rsidRPr="00C768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15648" w14:textId="77777777" w:rsidR="00064002" w:rsidRPr="00C768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4F16" w14:textId="77777777" w:rsidR="00064002" w:rsidRPr="00C768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75780" w14:textId="77777777" w:rsidR="00064002" w:rsidRPr="00C768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98A0E" w14:textId="77777777" w:rsidR="00FE18DE" w:rsidRPr="00C76821" w:rsidRDefault="00FE18DE">
      <w:r w:rsidRPr="00C76821">
        <w:separator/>
      </w:r>
    </w:p>
  </w:footnote>
  <w:footnote w:type="continuationSeparator" w:id="0">
    <w:p w14:paraId="03CF99D4" w14:textId="77777777" w:rsidR="00FE18DE" w:rsidRPr="00C76821" w:rsidRDefault="00FE18DE">
      <w:r w:rsidRPr="00C76821">
        <w:continuationSeparator/>
      </w:r>
    </w:p>
  </w:footnote>
  <w:footnote w:id="1">
    <w:p w14:paraId="532BF12C" w14:textId="6F815C59" w:rsidR="007F7E71" w:rsidRPr="00C76821" w:rsidRDefault="007F7E71" w:rsidP="00C76821">
      <w:pPr>
        <w:pStyle w:val="FootnoteText"/>
        <w:ind w:left="567" w:hanging="567"/>
        <w:rPr>
          <w:sz w:val="24"/>
          <w:lang w:val="lv-LV"/>
        </w:rPr>
      </w:pPr>
      <w:r w:rsidRPr="00C76821">
        <w:rPr>
          <w:rStyle w:val="FootnoteReference"/>
          <w:sz w:val="24"/>
          <w:lang w:val="lv-LV"/>
        </w:rPr>
        <w:footnoteRef/>
      </w:r>
      <w:r w:rsidR="00C76821" w:rsidRPr="00C76821">
        <w:rPr>
          <w:sz w:val="24"/>
          <w:lang w:val="lv-LV"/>
        </w:rPr>
        <w:t xml:space="preserve"> </w:t>
      </w:r>
      <w:r w:rsidR="00C76821" w:rsidRPr="00C76821">
        <w:rPr>
          <w:sz w:val="24"/>
          <w:lang w:val="lv-LV"/>
        </w:rPr>
        <w:tab/>
      </w:r>
      <w:r w:rsidRPr="00C76821">
        <w:rPr>
          <w:sz w:val="24"/>
          <w:lang w:val="lv-LV"/>
        </w:rPr>
        <w:t xml:space="preserve">Tiesas 2008. gada 21. oktobra spriedumi, </w:t>
      </w:r>
      <w:proofErr w:type="spellStart"/>
      <w:r w:rsidRPr="00C76821">
        <w:rPr>
          <w:i/>
          <w:iCs/>
          <w:sz w:val="24"/>
          <w:lang w:val="lv-LV"/>
        </w:rPr>
        <w:t>Marra</w:t>
      </w:r>
      <w:proofErr w:type="spellEnd"/>
      <w:r w:rsidRPr="00C76821">
        <w:rPr>
          <w:i/>
          <w:iCs/>
          <w:sz w:val="24"/>
          <w:lang w:val="lv-LV"/>
        </w:rPr>
        <w:t>/</w:t>
      </w:r>
      <w:proofErr w:type="spellStart"/>
      <w:r w:rsidRPr="00C76821">
        <w:rPr>
          <w:i/>
          <w:iCs/>
          <w:sz w:val="24"/>
          <w:lang w:val="lv-LV"/>
        </w:rPr>
        <w:t>De</w:t>
      </w:r>
      <w:proofErr w:type="spellEnd"/>
      <w:r w:rsidRPr="00C76821">
        <w:rPr>
          <w:i/>
          <w:iCs/>
          <w:sz w:val="24"/>
          <w:lang w:val="lv-LV"/>
        </w:rPr>
        <w:t xml:space="preserve"> Gregorio</w:t>
      </w:r>
      <w:r w:rsidRPr="00C76821">
        <w:rPr>
          <w:sz w:val="24"/>
          <w:lang w:val="lv-LV"/>
        </w:rPr>
        <w:t xml:space="preserve"> un </w:t>
      </w:r>
      <w:proofErr w:type="spellStart"/>
      <w:r w:rsidRPr="00C76821">
        <w:rPr>
          <w:i/>
          <w:iCs/>
          <w:sz w:val="24"/>
          <w:lang w:val="lv-LV"/>
        </w:rPr>
        <w:t>Clemente</w:t>
      </w:r>
      <w:proofErr w:type="spellEnd"/>
      <w:r w:rsidRPr="00C76821">
        <w:rPr>
          <w:sz w:val="24"/>
          <w:lang w:val="lv-LV"/>
        </w:rPr>
        <w:t xml:space="preserve">, C-200/07 un C-201/07, ECLI:EU:C:2008:579; Vispārējās Tiesas 2010. gada 19. marta spriedums, </w:t>
      </w:r>
      <w:proofErr w:type="spellStart"/>
      <w:r w:rsidRPr="00C76821">
        <w:rPr>
          <w:i/>
          <w:iCs/>
          <w:sz w:val="24"/>
          <w:lang w:val="lv-LV"/>
        </w:rPr>
        <w:t>Gollnisch</w:t>
      </w:r>
      <w:proofErr w:type="spellEnd"/>
      <w:r w:rsidRPr="00C76821">
        <w:rPr>
          <w:sz w:val="24"/>
          <w:lang w:val="lv-LV"/>
        </w:rPr>
        <w:t xml:space="preserve">/Parlaments, T-42/06, ECLI:EU:T:2010:102; Tiesas 2011. gada 6. septembra spriedums, </w:t>
      </w:r>
      <w:proofErr w:type="spellStart"/>
      <w:r w:rsidRPr="00C76821">
        <w:rPr>
          <w:i/>
          <w:iCs/>
          <w:sz w:val="24"/>
          <w:lang w:val="lv-LV"/>
        </w:rPr>
        <w:t>Patriciello</w:t>
      </w:r>
      <w:proofErr w:type="spellEnd"/>
      <w:r w:rsidRPr="00C76821">
        <w:rPr>
          <w:sz w:val="24"/>
          <w:lang w:val="lv-LV"/>
        </w:rPr>
        <w:t xml:space="preserve">, C-163/10, ECLI: EU:C:2011:543; Vispārējās Tiesas 2013. gada 17. janvāra spriedumi, </w:t>
      </w:r>
      <w:proofErr w:type="spellStart"/>
      <w:r w:rsidRPr="00C76821">
        <w:rPr>
          <w:i/>
          <w:iCs/>
          <w:sz w:val="24"/>
          <w:lang w:val="lv-LV"/>
        </w:rPr>
        <w:t>Gollnisch</w:t>
      </w:r>
      <w:proofErr w:type="spellEnd"/>
      <w:r w:rsidRPr="00C76821">
        <w:rPr>
          <w:sz w:val="24"/>
          <w:lang w:val="lv-LV"/>
        </w:rPr>
        <w:t xml:space="preserve">/Parlaments, T-346/11 un T-347/11, ECLI:EU:T:2013:23; Tiesas 2019. gada 19. decembra spriedums, </w:t>
      </w:r>
      <w:proofErr w:type="spellStart"/>
      <w:r w:rsidRPr="00C76821">
        <w:rPr>
          <w:i/>
          <w:iCs/>
          <w:sz w:val="24"/>
          <w:lang w:val="lv-LV"/>
        </w:rPr>
        <w:t>Junqueras</w:t>
      </w:r>
      <w:proofErr w:type="spellEnd"/>
      <w:r w:rsidRPr="00C76821">
        <w:rPr>
          <w:i/>
          <w:iCs/>
          <w:sz w:val="24"/>
          <w:lang w:val="lv-LV"/>
        </w:rPr>
        <w:t xml:space="preserve"> Vies</w:t>
      </w:r>
      <w:r w:rsidRPr="00C76821">
        <w:rPr>
          <w:sz w:val="24"/>
          <w:lang w:val="lv-LV"/>
        </w:rPr>
        <w:t>, C-502/19, ECLI:EU:C:2019:1115.</w:t>
      </w:r>
    </w:p>
  </w:footnote>
  <w:footnote w:id="2">
    <w:p w14:paraId="57D0130E" w14:textId="529E61D3" w:rsidR="007F7E71" w:rsidRPr="00C76821" w:rsidRDefault="007F7E71" w:rsidP="00C76821">
      <w:pPr>
        <w:pStyle w:val="FootnoteText"/>
        <w:ind w:left="567" w:hanging="567"/>
        <w:rPr>
          <w:sz w:val="24"/>
          <w:lang w:val="lv-LV"/>
        </w:rPr>
      </w:pPr>
      <w:r w:rsidRPr="00C76821">
        <w:rPr>
          <w:rStyle w:val="FootnoteReference"/>
          <w:sz w:val="24"/>
          <w:lang w:val="lv-LV"/>
        </w:rPr>
        <w:footnoteRef/>
      </w:r>
      <w:r w:rsidR="00C76821" w:rsidRPr="00C76821">
        <w:rPr>
          <w:sz w:val="24"/>
          <w:lang w:val="lv-LV"/>
        </w:rPr>
        <w:t xml:space="preserve"> </w:t>
      </w:r>
      <w:r w:rsidR="00C76821" w:rsidRPr="00C76821">
        <w:rPr>
          <w:sz w:val="24"/>
          <w:lang w:val="lv-LV"/>
        </w:rPr>
        <w:tab/>
      </w:r>
      <w:r w:rsidRPr="00C76821">
        <w:rPr>
          <w:sz w:val="24"/>
          <w:lang w:val="lv-LV"/>
        </w:rPr>
        <w:t xml:space="preserve">Vispārējās tiesas 2019. gada 30. aprīļa spriedums, </w:t>
      </w:r>
      <w:proofErr w:type="spellStart"/>
      <w:r w:rsidRPr="00C76821">
        <w:rPr>
          <w:i/>
          <w:iCs/>
          <w:sz w:val="24"/>
          <w:lang w:val="lv-LV"/>
        </w:rPr>
        <w:t>Briois</w:t>
      </w:r>
      <w:proofErr w:type="spellEnd"/>
      <w:r w:rsidRPr="00C76821">
        <w:rPr>
          <w:sz w:val="24"/>
          <w:lang w:val="lv-LV"/>
        </w:rPr>
        <w:t>/Parlaments, T-214/18, ECLI:EU:T:2019:266, 91.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B3A2" w14:textId="77777777" w:rsidR="00064002" w:rsidRPr="00C768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23C90" w14:textId="77777777" w:rsidR="00064002" w:rsidRPr="00C768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A8BF5" w14:textId="77777777" w:rsidR="00064002" w:rsidRPr="00C768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1919626">
    <w:abstractNumId w:val="9"/>
  </w:num>
  <w:num w:numId="2" w16cid:durableId="1156143667">
    <w:abstractNumId w:val="9"/>
  </w:num>
  <w:num w:numId="3" w16cid:durableId="551621699">
    <w:abstractNumId w:val="7"/>
  </w:num>
  <w:num w:numId="4" w16cid:durableId="542443030">
    <w:abstractNumId w:val="7"/>
  </w:num>
  <w:num w:numId="5" w16cid:durableId="762529311">
    <w:abstractNumId w:val="6"/>
  </w:num>
  <w:num w:numId="6" w16cid:durableId="188644034">
    <w:abstractNumId w:val="6"/>
  </w:num>
  <w:num w:numId="7" w16cid:durableId="1204446880">
    <w:abstractNumId w:val="5"/>
  </w:num>
  <w:num w:numId="8" w16cid:durableId="1046684930">
    <w:abstractNumId w:val="5"/>
  </w:num>
  <w:num w:numId="9" w16cid:durableId="1435436371">
    <w:abstractNumId w:val="4"/>
  </w:num>
  <w:num w:numId="10" w16cid:durableId="74254226">
    <w:abstractNumId w:val="4"/>
  </w:num>
  <w:num w:numId="11" w16cid:durableId="1409889698">
    <w:abstractNumId w:val="8"/>
  </w:num>
  <w:num w:numId="12" w16cid:durableId="110638990">
    <w:abstractNumId w:val="8"/>
  </w:num>
  <w:num w:numId="13" w16cid:durableId="1488092515">
    <w:abstractNumId w:val="3"/>
  </w:num>
  <w:num w:numId="14" w16cid:durableId="200481061">
    <w:abstractNumId w:val="3"/>
  </w:num>
  <w:num w:numId="15" w16cid:durableId="146947333">
    <w:abstractNumId w:val="2"/>
  </w:num>
  <w:num w:numId="16" w16cid:durableId="452330444">
    <w:abstractNumId w:val="2"/>
  </w:num>
  <w:num w:numId="17" w16cid:durableId="1253004636">
    <w:abstractNumId w:val="1"/>
  </w:num>
  <w:num w:numId="18" w16cid:durableId="1906184618">
    <w:abstractNumId w:val="1"/>
  </w:num>
  <w:num w:numId="19" w16cid:durableId="1578586497">
    <w:abstractNumId w:val="0"/>
  </w:num>
  <w:num w:numId="20" w16cid:durableId="1338272349">
    <w:abstractNumId w:val="0"/>
  </w:num>
  <w:num w:numId="21" w16cid:durableId="1181894342">
    <w:abstractNumId w:val="9"/>
  </w:num>
  <w:num w:numId="22" w16cid:durableId="518857884">
    <w:abstractNumId w:val="7"/>
  </w:num>
  <w:num w:numId="23" w16cid:durableId="1116945555">
    <w:abstractNumId w:val="6"/>
  </w:num>
  <w:num w:numId="24" w16cid:durableId="1019356718">
    <w:abstractNumId w:val="5"/>
  </w:num>
  <w:num w:numId="25" w16cid:durableId="2078212200">
    <w:abstractNumId w:val="4"/>
  </w:num>
  <w:num w:numId="26" w16cid:durableId="1748188366">
    <w:abstractNumId w:val="8"/>
  </w:num>
  <w:num w:numId="27" w16cid:durableId="488715808">
    <w:abstractNumId w:val="3"/>
  </w:num>
  <w:num w:numId="28" w16cid:durableId="1213156501">
    <w:abstractNumId w:val="2"/>
  </w:num>
  <w:num w:numId="29" w16cid:durableId="1055855559">
    <w:abstractNumId w:val="1"/>
  </w:num>
  <w:num w:numId="30" w16cid:durableId="1162162854">
    <w:abstractNumId w:val="0"/>
  </w:num>
  <w:num w:numId="31" w16cid:durableId="1549340460">
    <w:abstractNumId w:val="9"/>
  </w:num>
  <w:num w:numId="32" w16cid:durableId="746071495">
    <w:abstractNumId w:val="7"/>
  </w:num>
  <w:num w:numId="33" w16cid:durableId="2071266302">
    <w:abstractNumId w:val="6"/>
  </w:num>
  <w:num w:numId="34" w16cid:durableId="292636779">
    <w:abstractNumId w:val="5"/>
  </w:num>
  <w:num w:numId="35" w16cid:durableId="63072397">
    <w:abstractNumId w:val="4"/>
  </w:num>
  <w:num w:numId="36" w16cid:durableId="642004386">
    <w:abstractNumId w:val="8"/>
  </w:num>
  <w:num w:numId="37" w16cid:durableId="1156722233">
    <w:abstractNumId w:val="3"/>
  </w:num>
  <w:num w:numId="38" w16cid:durableId="1767723314">
    <w:abstractNumId w:val="2"/>
  </w:num>
  <w:num w:numId="39" w16cid:durableId="1375501158">
    <w:abstractNumId w:val="1"/>
  </w:num>
  <w:num w:numId="40" w16cid:durableId="350842738">
    <w:abstractNumId w:val="0"/>
  </w:num>
  <w:num w:numId="41" w16cid:durableId="1950042376">
    <w:abstractNumId w:val="10"/>
  </w:num>
  <w:num w:numId="42" w16cid:durableId="1566836496">
    <w:abstractNumId w:val="10"/>
  </w:num>
  <w:num w:numId="43" w16cid:durableId="1983267312">
    <w:abstractNumId w:val="10"/>
  </w:num>
  <w:num w:numId="44" w16cid:durableId="798298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LV"/>
    <w:docVar w:name="dvnumam" w:val="0"/>
    <w:docVar w:name="dvpe" w:val="784.143"/>
    <w:docVar w:name="dvrapporteur" w:val="Referents: "/>
    <w:docVar w:name="dvtitre" w:val="Eiropas Parlamenta 2026. gada XX. XXX lēmums par pieprasījumu atcelt Nikos Pappas imunitāti(2025/2194(IMM))"/>
  </w:docVars>
  <w:rsids>
    <w:rsidRoot w:val="00FE18DE"/>
    <w:rsid w:val="00002272"/>
    <w:rsid w:val="00064002"/>
    <w:rsid w:val="000677B9"/>
    <w:rsid w:val="000831BA"/>
    <w:rsid w:val="000A42CC"/>
    <w:rsid w:val="000E7DD9"/>
    <w:rsid w:val="0010095E"/>
    <w:rsid w:val="00116871"/>
    <w:rsid w:val="00125B37"/>
    <w:rsid w:val="00187494"/>
    <w:rsid w:val="001F32AE"/>
    <w:rsid w:val="00214186"/>
    <w:rsid w:val="0023680E"/>
    <w:rsid w:val="002767FF"/>
    <w:rsid w:val="00280313"/>
    <w:rsid w:val="002A0C8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E71"/>
    <w:rsid w:val="00817416"/>
    <w:rsid w:val="00842779"/>
    <w:rsid w:val="00865F67"/>
    <w:rsid w:val="00881A7B"/>
    <w:rsid w:val="008840E5"/>
    <w:rsid w:val="00886A8A"/>
    <w:rsid w:val="00887B3E"/>
    <w:rsid w:val="008C2AC6"/>
    <w:rsid w:val="00930C23"/>
    <w:rsid w:val="0093193B"/>
    <w:rsid w:val="009509D8"/>
    <w:rsid w:val="00950B64"/>
    <w:rsid w:val="00960C5B"/>
    <w:rsid w:val="00981893"/>
    <w:rsid w:val="00A1687D"/>
    <w:rsid w:val="00A43E52"/>
    <w:rsid w:val="00A4678D"/>
    <w:rsid w:val="00A778C7"/>
    <w:rsid w:val="00AB441E"/>
    <w:rsid w:val="00AB6293"/>
    <w:rsid w:val="00AD5264"/>
    <w:rsid w:val="00AD5B6E"/>
    <w:rsid w:val="00AE0928"/>
    <w:rsid w:val="00AF3B82"/>
    <w:rsid w:val="00B12E95"/>
    <w:rsid w:val="00B22876"/>
    <w:rsid w:val="00B558F0"/>
    <w:rsid w:val="00BD48FE"/>
    <w:rsid w:val="00BD7BD8"/>
    <w:rsid w:val="00BE6ADC"/>
    <w:rsid w:val="00C05BFE"/>
    <w:rsid w:val="00C11FC7"/>
    <w:rsid w:val="00C23CD4"/>
    <w:rsid w:val="00C46814"/>
    <w:rsid w:val="00C61C0C"/>
    <w:rsid w:val="00C7682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EBB"/>
    <w:rsid w:val="00F04346"/>
    <w:rsid w:val="00F075DC"/>
    <w:rsid w:val="00F149E9"/>
    <w:rsid w:val="00F32B95"/>
    <w:rsid w:val="00F5134D"/>
    <w:rsid w:val="00F74202"/>
    <w:rsid w:val="00F87713"/>
    <w:rsid w:val="00FB4360"/>
    <w:rsid w:val="00FD0C70"/>
    <w:rsid w:val="00FE18D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FA23E"/>
  <w15:chartTrackingRefBased/>
  <w15:docId w15:val="{D8EE821B-8B09-4255-9E66-C5DB25A4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F7E71"/>
    <w:rPr>
      <w:b/>
    </w:rPr>
  </w:style>
  <w:style w:type="paragraph" w:customStyle="1" w:styleId="NormalHanging12a">
    <w:name w:val="NormalHanging12a"/>
    <w:basedOn w:val="Normal"/>
    <w:rsid w:val="007F7E71"/>
    <w:pPr>
      <w:spacing w:after="240"/>
      <w:ind w:left="567" w:hanging="567"/>
    </w:pPr>
  </w:style>
  <w:style w:type="paragraph" w:customStyle="1" w:styleId="EPComma">
    <w:name w:val="EPComma"/>
    <w:basedOn w:val="Normal"/>
    <w:rsid w:val="007F7E71"/>
    <w:pPr>
      <w:spacing w:before="480" w:after="240"/>
    </w:pPr>
  </w:style>
  <w:style w:type="paragraph" w:styleId="Revision">
    <w:name w:val="Revision"/>
    <w:hidden/>
    <w:uiPriority w:val="99"/>
    <w:semiHidden/>
    <w:rsid w:val="00C11FC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585</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2026-03-26T10:44:00Z</dcterms:created>
  <dcterms:modified xsi:type="dcterms:W3CDTF">2026-03-26T10:44:00Z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A10-0077/2026</vt:lpwstr>
  </property>
  <property fmtid="{D5CDD505-2E9C-101B-9397-08002B2CF9AE}" pid="4" name="&lt;Type&gt;">
    <vt:lpwstr>RR</vt:lpwstr>
  </property>
</Properties>
</file>