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46A0" w14:paraId="1E485A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DACAFC" w14:textId="77777777" w:rsidR="00751A4A" w:rsidRPr="001B46A0" w:rsidRDefault="00D2346D" w:rsidP="0010095E">
            <w:pPr>
              <w:pStyle w:val="EPName"/>
            </w:pPr>
            <w:r w:rsidRPr="001B46A0">
              <w:t>Eiropas Parlaments</w:t>
            </w:r>
          </w:p>
          <w:p w14:paraId="4AA9F45F" w14:textId="77777777" w:rsidR="00751A4A" w:rsidRPr="001B46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46A0">
              <w:t>2024</w:t>
            </w:r>
            <w:r w:rsidR="00817416" w:rsidRPr="001B46A0">
              <w:t>-202</w:t>
            </w:r>
            <w:r w:rsidRPr="001B46A0">
              <w:t>9</w:t>
            </w:r>
          </w:p>
        </w:tc>
        <w:tc>
          <w:tcPr>
            <w:tcW w:w="2268" w:type="dxa"/>
            <w:shd w:val="clear" w:color="auto" w:fill="auto"/>
          </w:tcPr>
          <w:p w14:paraId="7510BDA5" w14:textId="77777777" w:rsidR="00751A4A" w:rsidRPr="001B46A0" w:rsidRDefault="00187494" w:rsidP="0010095E">
            <w:pPr>
              <w:pStyle w:val="EPLogo"/>
            </w:pPr>
            <w:r w:rsidRPr="001B46A0">
              <w:rPr>
                <w:noProof/>
                <w:lang w:eastAsia="ja-JP"/>
              </w:rPr>
              <w:drawing>
                <wp:inline distT="0" distB="0" distL="0" distR="0" wp14:anchorId="36449167" wp14:editId="7F8AE0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B82E0" w14:textId="77777777" w:rsidR="00D058B8" w:rsidRPr="001B46A0" w:rsidRDefault="00D058B8" w:rsidP="004C5D52">
      <w:pPr>
        <w:pStyle w:val="LineTop"/>
      </w:pPr>
    </w:p>
    <w:p w14:paraId="1268B806" w14:textId="77777777" w:rsidR="00680577" w:rsidRPr="001B46A0" w:rsidRDefault="00D2346D" w:rsidP="00680577">
      <w:pPr>
        <w:pStyle w:val="EPBodyTA1"/>
      </w:pPr>
      <w:r w:rsidRPr="001B46A0">
        <w:t>PIEŅEMTIE TEKSTI</w:t>
      </w:r>
    </w:p>
    <w:p w14:paraId="56688031" w14:textId="77777777" w:rsidR="00D058B8" w:rsidRPr="001B46A0" w:rsidRDefault="00D058B8" w:rsidP="00D058B8">
      <w:pPr>
        <w:pStyle w:val="LineBottom"/>
      </w:pPr>
    </w:p>
    <w:p w14:paraId="020AB29E" w14:textId="3BC74DB6" w:rsidR="00D2346D" w:rsidRPr="001B46A0" w:rsidRDefault="00D2346D" w:rsidP="00D2346D">
      <w:pPr>
        <w:pStyle w:val="ATHeading1"/>
      </w:pPr>
      <w:bookmarkStart w:id="0" w:name="TANumber"/>
      <w:r w:rsidRPr="001B46A0">
        <w:t>P10_TA(2026)00</w:t>
      </w:r>
      <w:r w:rsidR="00240FF5">
        <w:t>9</w:t>
      </w:r>
      <w:r w:rsidRPr="001B46A0">
        <w:t>0</w:t>
      </w:r>
      <w:bookmarkEnd w:id="0"/>
    </w:p>
    <w:p w14:paraId="6F731091" w14:textId="5A45968C" w:rsidR="00D2346D" w:rsidRPr="00CD30C0" w:rsidRDefault="00CD30C0" w:rsidP="00CD30C0">
      <w:pPr>
        <w:pStyle w:val="ATHeading2"/>
      </w:pPr>
      <w:r w:rsidRPr="00CD30C0">
        <w:rPr>
          <w:bCs/>
        </w:rPr>
        <w:t>Noguldījumu aizsardzības tvērums, noguldījumu garantiju sistēmas līdzekļu</w:t>
      </w:r>
      <w:r>
        <w:rPr>
          <w:bCs/>
        </w:rPr>
        <w:t xml:space="preserve"> </w:t>
      </w:r>
      <w:r w:rsidRPr="00CD30C0">
        <w:rPr>
          <w:bCs/>
        </w:rPr>
        <w:t xml:space="preserve">izmantošana, pārrobežu sadarbība un </w:t>
      </w:r>
      <w:proofErr w:type="spellStart"/>
      <w:r w:rsidRPr="00CD30C0">
        <w:rPr>
          <w:bCs/>
        </w:rPr>
        <w:t>pārredzamība</w:t>
      </w:r>
      <w:proofErr w:type="spellEnd"/>
      <w:r w:rsidRPr="00CD30C0">
        <w:rPr>
          <w:bCs/>
        </w:rPr>
        <w:t xml:space="preserve"> (NGSD2)</w:t>
      </w:r>
    </w:p>
    <w:p w14:paraId="2C4F7B39" w14:textId="77777777" w:rsidR="00D2346D" w:rsidRPr="001B46A0" w:rsidRDefault="00D2346D" w:rsidP="00D2346D">
      <w:pPr>
        <w:rPr>
          <w:i/>
          <w:vanish/>
        </w:rPr>
      </w:pPr>
      <w:r w:rsidRPr="001B46A0">
        <w:rPr>
          <w:i/>
        </w:rPr>
        <w:fldChar w:fldCharType="begin"/>
      </w:r>
      <w:r w:rsidRPr="001B46A0">
        <w:rPr>
          <w:i/>
        </w:rPr>
        <w:instrText xml:space="preserve"> TC"(</w:instrText>
      </w:r>
      <w:bookmarkStart w:id="1" w:name="DocNumber"/>
      <w:r w:rsidRPr="001B46A0">
        <w:rPr>
          <w:i/>
        </w:rPr>
        <w:instrText>A10-0065/2026</w:instrText>
      </w:r>
      <w:bookmarkEnd w:id="1"/>
      <w:r w:rsidRPr="001B46A0">
        <w:rPr>
          <w:i/>
        </w:rPr>
        <w:instrText xml:space="preserve"> - Referente: Kira </w:instrText>
      </w:r>
      <w:proofErr w:type="spellStart"/>
      <w:r w:rsidRPr="001B46A0">
        <w:rPr>
          <w:i/>
        </w:rPr>
        <w:instrText>Marie</w:instrText>
      </w:r>
      <w:proofErr w:type="spellEnd"/>
      <w:r w:rsidRPr="001B46A0">
        <w:rPr>
          <w:i/>
        </w:rPr>
        <w:instrText xml:space="preserve"> Peter-</w:instrText>
      </w:r>
      <w:proofErr w:type="spellStart"/>
      <w:r w:rsidRPr="001B46A0">
        <w:rPr>
          <w:i/>
        </w:rPr>
        <w:instrText>Hansen</w:instrText>
      </w:r>
      <w:proofErr w:type="spellEnd"/>
      <w:r w:rsidRPr="001B46A0">
        <w:rPr>
          <w:i/>
        </w:rPr>
        <w:instrText xml:space="preserve">)"\l3 \n&gt; \* MERGEFORMAT </w:instrText>
      </w:r>
      <w:r w:rsidRPr="001B46A0">
        <w:rPr>
          <w:i/>
        </w:rPr>
        <w:fldChar w:fldCharType="end"/>
      </w:r>
    </w:p>
    <w:p w14:paraId="0036FD85" w14:textId="77777777" w:rsidR="00D2346D" w:rsidRPr="001B46A0" w:rsidRDefault="00D2346D" w:rsidP="00D2346D">
      <w:pPr>
        <w:rPr>
          <w:vanish/>
        </w:rPr>
      </w:pPr>
      <w:bookmarkStart w:id="2" w:name="Commission"/>
      <w:r w:rsidRPr="001B46A0">
        <w:rPr>
          <w:vanish/>
        </w:rPr>
        <w:t>Ekonomikas un monetārā komiteja</w:t>
      </w:r>
      <w:bookmarkEnd w:id="2"/>
    </w:p>
    <w:p w14:paraId="58A8998D" w14:textId="77777777" w:rsidR="00D2346D" w:rsidRPr="001B46A0" w:rsidRDefault="00D2346D" w:rsidP="00D2346D">
      <w:pPr>
        <w:rPr>
          <w:vanish/>
        </w:rPr>
      </w:pPr>
      <w:bookmarkStart w:id="3" w:name="PE"/>
      <w:r w:rsidRPr="001B46A0">
        <w:rPr>
          <w:vanish/>
        </w:rPr>
        <w:t>PE785.243</w:t>
      </w:r>
      <w:bookmarkEnd w:id="3"/>
    </w:p>
    <w:p w14:paraId="5717A5F1" w14:textId="48442BE5" w:rsidR="00D2346D" w:rsidRPr="001B46A0" w:rsidRDefault="00D2346D" w:rsidP="00D2346D">
      <w:pPr>
        <w:pStyle w:val="ATHeading3"/>
      </w:pPr>
      <w:bookmarkStart w:id="4" w:name="Sujet"/>
      <w:r w:rsidRPr="001B46A0">
        <w:t xml:space="preserve">Eiropas Parlamenta 2026. gada </w:t>
      </w:r>
      <w:r w:rsidR="00CD30C0">
        <w:t>26</w:t>
      </w:r>
      <w:r w:rsidRPr="001B46A0">
        <w:t xml:space="preserve">. </w:t>
      </w:r>
      <w:r w:rsidR="00CD30C0">
        <w:t>marta</w:t>
      </w:r>
      <w:r w:rsidRPr="001B46A0">
        <w:t xml:space="preserve"> normatīvā rezolūcija par Padomes nostāju pirmajā lasījumā, lai pieņemtu Eiropas Parlamenta un Padomes direktīvu, ar ko groza Direktīvu 2014/49/ES attiecībā uz noguldījumu aizsardzības tvērumu, noguldījumu garantiju sistēmas līdzekļu izmantošanu, pārrobežu sadarbību un </w:t>
      </w:r>
      <w:proofErr w:type="spellStart"/>
      <w:r w:rsidRPr="001B46A0">
        <w:t>pārredzamību</w:t>
      </w:r>
      <w:bookmarkEnd w:id="4"/>
      <w:proofErr w:type="spellEnd"/>
      <w:r w:rsidRPr="001B46A0">
        <w:t xml:space="preserve"> </w:t>
      </w:r>
      <w:bookmarkStart w:id="5" w:name="References"/>
      <w:r w:rsidRPr="001B46A0">
        <w:t>(15484/1/25 – C10-0074/2026 – 2023/0115(COD))</w:t>
      </w:r>
      <w:bookmarkEnd w:id="5"/>
    </w:p>
    <w:p w14:paraId="3114BD3D" w14:textId="77777777" w:rsidR="00565313" w:rsidRPr="001B46A0" w:rsidRDefault="00565313" w:rsidP="00565313">
      <w:pPr>
        <w:pStyle w:val="NormalBold"/>
      </w:pPr>
      <w:bookmarkStart w:id="6" w:name="TextBodyBegin"/>
      <w:bookmarkEnd w:id="6"/>
      <w:r w:rsidRPr="001B46A0">
        <w:t>(Parastā likumdošanas procedūra: otrais lasījums)</w:t>
      </w:r>
    </w:p>
    <w:p w14:paraId="03AC9386" w14:textId="77777777" w:rsidR="00565313" w:rsidRPr="001B46A0" w:rsidRDefault="00565313" w:rsidP="00565313">
      <w:pPr>
        <w:pStyle w:val="EPComma"/>
      </w:pPr>
      <w:r w:rsidRPr="001B46A0">
        <w:rPr>
          <w:i/>
          <w:iCs/>
        </w:rPr>
        <w:t>Eiropas Parlaments</w:t>
      </w:r>
      <w:r w:rsidRPr="001B46A0">
        <w:t>,</w:t>
      </w:r>
    </w:p>
    <w:p w14:paraId="0EA41E4D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Padomes nostāju pirmajā lasījumā (15484/1/25 – C10-0074/2026),</w:t>
      </w:r>
    </w:p>
    <w:p w14:paraId="492B204D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Eiropas Centrālās bankas 2023. gada 5. jūlija atzinumu</w:t>
      </w:r>
      <w:r w:rsidRPr="001B46A0">
        <w:rPr>
          <w:vertAlign w:val="superscript"/>
        </w:rPr>
        <w:footnoteReference w:id="1"/>
      </w:r>
      <w:r w:rsidRPr="001B46A0">
        <w:t>,</w:t>
      </w:r>
    </w:p>
    <w:p w14:paraId="168309E2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Parlamenta nostāju pirmajā lasījumā</w:t>
      </w:r>
      <w:r w:rsidRPr="001B46A0">
        <w:rPr>
          <w:rStyle w:val="FootnoteReference"/>
        </w:rPr>
        <w:footnoteReference w:id="2"/>
      </w:r>
      <w:r w:rsidRPr="001B46A0">
        <w:t xml:space="preserve"> attiecībā uz Komisijas priekšlikumu Eiropas Parlamentam un Padomei (COM(2023)0228),</w:t>
      </w:r>
    </w:p>
    <w:p w14:paraId="3C1EE9C2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Līguma par Eiropas Savienības darbību 294. panta 7. punktu,</w:t>
      </w:r>
    </w:p>
    <w:p w14:paraId="08FA9C55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provizorisko vienošanos, ko atbildīgā komiteja apstiprināja saskaņā ar Reglamenta 75. panta 4. punktu,</w:t>
      </w:r>
    </w:p>
    <w:p w14:paraId="114C2F17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Reglamenta 68. pantu,</w:t>
      </w:r>
    </w:p>
    <w:p w14:paraId="32B74066" w14:textId="77777777" w:rsidR="00565313" w:rsidRPr="001B46A0" w:rsidRDefault="00565313" w:rsidP="00565313">
      <w:pPr>
        <w:pStyle w:val="NormalHanging12a"/>
      </w:pPr>
      <w:r w:rsidRPr="001B46A0">
        <w:t>–</w:t>
      </w:r>
      <w:r w:rsidRPr="001B46A0">
        <w:tab/>
        <w:t>ņemot vērā Ekonomikas un monetārās komitejas ieteikumu otrajam lasījumam (A10-0065/2026),</w:t>
      </w:r>
    </w:p>
    <w:p w14:paraId="3B2E67FD" w14:textId="77777777" w:rsidR="00565313" w:rsidRPr="001B46A0" w:rsidRDefault="00565313" w:rsidP="00565313">
      <w:pPr>
        <w:pStyle w:val="NormalHanging12a"/>
      </w:pPr>
      <w:r w:rsidRPr="001B46A0">
        <w:t>1.</w:t>
      </w:r>
      <w:r w:rsidRPr="001B46A0">
        <w:tab/>
        <w:t>apstiprina Padomes nostāju pirmajā lasījumā;</w:t>
      </w:r>
    </w:p>
    <w:p w14:paraId="7E583411" w14:textId="77777777" w:rsidR="00565313" w:rsidRPr="001B46A0" w:rsidRDefault="00565313" w:rsidP="00565313">
      <w:pPr>
        <w:pStyle w:val="NormalHanging12a"/>
      </w:pPr>
      <w:r w:rsidRPr="001B46A0">
        <w:t>2.</w:t>
      </w:r>
      <w:r w:rsidRPr="001B46A0">
        <w:tab/>
        <w:t>konstatē, ka akts ir pieņemts saskaņā ar Padomes nostāju;</w:t>
      </w:r>
    </w:p>
    <w:p w14:paraId="18D2643E" w14:textId="77777777" w:rsidR="00565313" w:rsidRPr="001B46A0" w:rsidRDefault="00565313" w:rsidP="00565313">
      <w:pPr>
        <w:pStyle w:val="NormalHanging12a"/>
      </w:pPr>
      <w:r w:rsidRPr="001B46A0">
        <w:lastRenderedPageBreak/>
        <w:t>3.</w:t>
      </w:r>
      <w:r w:rsidRPr="001B46A0">
        <w:tab/>
        <w:t>uzdod priekšsēdētājai parakstīt aktu kopā ar Padomes priekšsēdētāju saskaņā ar Līguma par Eiropas Savienības darbību 297. panta 1. punktu;</w:t>
      </w:r>
    </w:p>
    <w:p w14:paraId="5A5C5FEF" w14:textId="77777777" w:rsidR="00565313" w:rsidRPr="001B46A0" w:rsidRDefault="00565313" w:rsidP="00565313">
      <w:pPr>
        <w:pStyle w:val="NormalHanging12a"/>
      </w:pPr>
      <w:r w:rsidRPr="001B46A0">
        <w:t>4.</w:t>
      </w:r>
      <w:r w:rsidRPr="001B46A0">
        <w:tab/>
        <w:t xml:space="preserve">uzdod ģenerālsekretāram aktu parakstīt pēc tam, kad viņš būs pārbaudījis, ka ir pienācīgi ievērotas visas procedūras, un pēc saskaņošanas ar Padomes ģenerālsekretāri nodrošināt tā publicēšanu </w:t>
      </w:r>
      <w:r w:rsidRPr="001B46A0">
        <w:rPr>
          <w:i/>
        </w:rPr>
        <w:t>Eiropas Savienības Oficiālajā Vēstnesī</w:t>
      </w:r>
      <w:r w:rsidRPr="001B46A0">
        <w:t>;</w:t>
      </w:r>
    </w:p>
    <w:p w14:paraId="673A7220" w14:textId="230D8F1D" w:rsidR="00E365E1" w:rsidRPr="001B46A0" w:rsidRDefault="00565313" w:rsidP="00240FF5">
      <w:pPr>
        <w:pStyle w:val="NormalHanging12a"/>
      </w:pPr>
      <w:r w:rsidRPr="001B46A0">
        <w:t>5.</w:t>
      </w:r>
      <w:r w:rsidRPr="001B46A0">
        <w:tab/>
        <w:t>uzdod priekšsēdētājai Parlamenta nostāju nosūtīt Padomei un Komisijai, kā arī dalībvalstu parlamentiem.</w:t>
      </w:r>
    </w:p>
    <w:sectPr w:rsidR="00E365E1" w:rsidRPr="001B46A0" w:rsidSect="001B46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13791" w14:textId="77777777" w:rsidR="00D2346D" w:rsidRPr="001B46A0" w:rsidRDefault="00D2346D">
      <w:r w:rsidRPr="001B46A0">
        <w:separator/>
      </w:r>
    </w:p>
  </w:endnote>
  <w:endnote w:type="continuationSeparator" w:id="0">
    <w:p w14:paraId="6E43E5A8" w14:textId="77777777" w:rsidR="00D2346D" w:rsidRPr="001B46A0" w:rsidRDefault="00D2346D">
      <w:r w:rsidRPr="001B46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5CC25" w14:textId="77777777" w:rsidR="00064002" w:rsidRPr="001B46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8A9F" w14:textId="77777777" w:rsidR="00064002" w:rsidRPr="001B46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F01C" w14:textId="77777777" w:rsidR="00064002" w:rsidRPr="001B46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27E5" w14:textId="77777777" w:rsidR="00D2346D" w:rsidRPr="001B46A0" w:rsidRDefault="00D2346D">
      <w:r w:rsidRPr="001B46A0">
        <w:separator/>
      </w:r>
    </w:p>
  </w:footnote>
  <w:footnote w:type="continuationSeparator" w:id="0">
    <w:p w14:paraId="4539CF91" w14:textId="77777777" w:rsidR="00D2346D" w:rsidRPr="001B46A0" w:rsidRDefault="00D2346D">
      <w:r w:rsidRPr="001B46A0">
        <w:continuationSeparator/>
      </w:r>
    </w:p>
  </w:footnote>
  <w:footnote w:id="1">
    <w:p w14:paraId="3E03DE8A" w14:textId="74BFF2A6" w:rsidR="00565313" w:rsidRPr="001B46A0" w:rsidRDefault="00565313" w:rsidP="001B46A0">
      <w:pPr>
        <w:pStyle w:val="FootnoteText"/>
        <w:ind w:left="567" w:hanging="567"/>
        <w:rPr>
          <w:b/>
          <w:bCs/>
          <w:sz w:val="24"/>
          <w:lang w:val="lv-LV"/>
        </w:rPr>
      </w:pPr>
      <w:r w:rsidRPr="001B46A0">
        <w:rPr>
          <w:rStyle w:val="FootnoteReference"/>
          <w:sz w:val="24"/>
          <w:lang w:val="lv-LV"/>
        </w:rPr>
        <w:footnoteRef/>
      </w:r>
      <w:r w:rsidR="001B46A0" w:rsidRPr="001B46A0">
        <w:rPr>
          <w:sz w:val="24"/>
          <w:lang w:val="lv-LV"/>
        </w:rPr>
        <w:t xml:space="preserve"> </w:t>
      </w:r>
      <w:r w:rsidR="001B46A0" w:rsidRPr="001B46A0">
        <w:rPr>
          <w:sz w:val="24"/>
          <w:lang w:val="lv-LV"/>
        </w:rPr>
        <w:tab/>
      </w:r>
      <w:r w:rsidRPr="001B46A0">
        <w:rPr>
          <w:sz w:val="24"/>
          <w:lang w:val="lv-LV"/>
        </w:rPr>
        <w:t>OV </w:t>
      </w:r>
      <w:r w:rsidR="00C54CD3">
        <w:rPr>
          <w:sz w:val="24"/>
          <w:lang w:val="lv-LV"/>
        </w:rPr>
        <w:t>C</w:t>
      </w:r>
      <w:r w:rsidRPr="001B46A0">
        <w:rPr>
          <w:sz w:val="24"/>
          <w:lang w:val="lv-LV"/>
        </w:rPr>
        <w:t> 307, 31.8.2023., 19. lpp.</w:t>
      </w:r>
    </w:p>
  </w:footnote>
  <w:footnote w:id="2">
    <w:p w14:paraId="357D1B51" w14:textId="2B7714EA" w:rsidR="00565313" w:rsidRPr="001B46A0" w:rsidRDefault="00565313" w:rsidP="001B46A0">
      <w:pPr>
        <w:pStyle w:val="FootnoteText"/>
        <w:ind w:left="567" w:hanging="567"/>
        <w:rPr>
          <w:sz w:val="24"/>
          <w:lang w:val="lv-LV"/>
        </w:rPr>
      </w:pPr>
      <w:r w:rsidRPr="001B46A0">
        <w:rPr>
          <w:rStyle w:val="FootnoteReference"/>
          <w:sz w:val="24"/>
          <w:lang w:val="lv-LV"/>
        </w:rPr>
        <w:footnoteRef/>
      </w:r>
      <w:r w:rsidR="001B46A0" w:rsidRPr="001B46A0">
        <w:rPr>
          <w:sz w:val="24"/>
          <w:lang w:val="lv-LV"/>
        </w:rPr>
        <w:t xml:space="preserve"> </w:t>
      </w:r>
      <w:r w:rsidR="001B46A0" w:rsidRPr="001B46A0">
        <w:rPr>
          <w:sz w:val="24"/>
          <w:lang w:val="lv-LV"/>
        </w:rPr>
        <w:tab/>
      </w:r>
      <w:r w:rsidR="00CD30C0" w:rsidRPr="00CD30C0">
        <w:rPr>
          <w:sz w:val="24"/>
          <w:lang w:val="lv-LV"/>
        </w:rPr>
        <w:t>O</w:t>
      </w:r>
      <w:r w:rsidR="00CD30C0">
        <w:rPr>
          <w:sz w:val="24"/>
          <w:lang w:val="lv-LV"/>
        </w:rPr>
        <w:t>V</w:t>
      </w:r>
      <w:r w:rsidR="00CD30C0" w:rsidRPr="00CD30C0">
        <w:rPr>
          <w:sz w:val="24"/>
          <w:lang w:val="lv-LV"/>
        </w:rPr>
        <w:t xml:space="preserve"> C, C/2025/3754, 17.9.2025</w:t>
      </w:r>
      <w:r w:rsidR="00CD30C0">
        <w:rPr>
          <w:sz w:val="24"/>
          <w:lang w:val="lv-LV"/>
        </w:rPr>
        <w:t>.</w:t>
      </w:r>
      <w:r w:rsidR="00CD30C0" w:rsidRPr="00CD30C0">
        <w:rPr>
          <w:sz w:val="24"/>
          <w:lang w:val="lv-LV"/>
        </w:rPr>
        <w:t xml:space="preserve">, ELI: </w:t>
      </w:r>
      <w:hyperlink r:id="rId1" w:history="1">
        <w:r w:rsidR="00CD30C0" w:rsidRPr="00240FF5">
          <w:rPr>
            <w:rStyle w:val="Hyperlink"/>
            <w:sz w:val="24"/>
            <w:lang w:val="lv-LV"/>
          </w:rPr>
          <w:t>http://data.europa.eu/eli/C/2025/3754/oj</w:t>
        </w:r>
      </w:hyperlink>
      <w:r w:rsidRPr="001B46A0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FFC2" w14:textId="77777777" w:rsidR="00064002" w:rsidRPr="001B46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D8079" w14:textId="77777777" w:rsidR="00064002" w:rsidRPr="001B46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7C3E" w14:textId="77777777" w:rsidR="00064002" w:rsidRPr="001B46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3273303">
    <w:abstractNumId w:val="9"/>
  </w:num>
  <w:num w:numId="2" w16cid:durableId="528301425">
    <w:abstractNumId w:val="9"/>
  </w:num>
  <w:num w:numId="3" w16cid:durableId="1661496987">
    <w:abstractNumId w:val="7"/>
  </w:num>
  <w:num w:numId="4" w16cid:durableId="356975824">
    <w:abstractNumId w:val="7"/>
  </w:num>
  <w:num w:numId="5" w16cid:durableId="1180125355">
    <w:abstractNumId w:val="6"/>
  </w:num>
  <w:num w:numId="6" w16cid:durableId="731269486">
    <w:abstractNumId w:val="6"/>
  </w:num>
  <w:num w:numId="7" w16cid:durableId="647562424">
    <w:abstractNumId w:val="5"/>
  </w:num>
  <w:num w:numId="8" w16cid:durableId="129710695">
    <w:abstractNumId w:val="5"/>
  </w:num>
  <w:num w:numId="9" w16cid:durableId="298534702">
    <w:abstractNumId w:val="4"/>
  </w:num>
  <w:num w:numId="10" w16cid:durableId="1024482727">
    <w:abstractNumId w:val="4"/>
  </w:num>
  <w:num w:numId="11" w16cid:durableId="91973585">
    <w:abstractNumId w:val="8"/>
  </w:num>
  <w:num w:numId="12" w16cid:durableId="507330776">
    <w:abstractNumId w:val="8"/>
  </w:num>
  <w:num w:numId="13" w16cid:durableId="253704728">
    <w:abstractNumId w:val="3"/>
  </w:num>
  <w:num w:numId="14" w16cid:durableId="945504487">
    <w:abstractNumId w:val="3"/>
  </w:num>
  <w:num w:numId="15" w16cid:durableId="475299032">
    <w:abstractNumId w:val="2"/>
  </w:num>
  <w:num w:numId="16" w16cid:durableId="1813868214">
    <w:abstractNumId w:val="2"/>
  </w:num>
  <w:num w:numId="17" w16cid:durableId="1996060676">
    <w:abstractNumId w:val="1"/>
  </w:num>
  <w:num w:numId="18" w16cid:durableId="1891846385">
    <w:abstractNumId w:val="1"/>
  </w:num>
  <w:num w:numId="19" w16cid:durableId="1028025722">
    <w:abstractNumId w:val="0"/>
  </w:num>
  <w:num w:numId="20" w16cid:durableId="1218391743">
    <w:abstractNumId w:val="0"/>
  </w:num>
  <w:num w:numId="21" w16cid:durableId="814906581">
    <w:abstractNumId w:val="9"/>
  </w:num>
  <w:num w:numId="22" w16cid:durableId="787235997">
    <w:abstractNumId w:val="7"/>
  </w:num>
  <w:num w:numId="23" w16cid:durableId="930545717">
    <w:abstractNumId w:val="6"/>
  </w:num>
  <w:num w:numId="24" w16cid:durableId="1810902768">
    <w:abstractNumId w:val="5"/>
  </w:num>
  <w:num w:numId="25" w16cid:durableId="460270901">
    <w:abstractNumId w:val="4"/>
  </w:num>
  <w:num w:numId="26" w16cid:durableId="1522665492">
    <w:abstractNumId w:val="8"/>
  </w:num>
  <w:num w:numId="27" w16cid:durableId="408893023">
    <w:abstractNumId w:val="3"/>
  </w:num>
  <w:num w:numId="28" w16cid:durableId="2107458590">
    <w:abstractNumId w:val="2"/>
  </w:num>
  <w:num w:numId="29" w16cid:durableId="350188975">
    <w:abstractNumId w:val="1"/>
  </w:num>
  <w:num w:numId="30" w16cid:durableId="1237669856">
    <w:abstractNumId w:val="0"/>
  </w:num>
  <w:num w:numId="31" w16cid:durableId="2059619853">
    <w:abstractNumId w:val="9"/>
  </w:num>
  <w:num w:numId="32" w16cid:durableId="1474983516">
    <w:abstractNumId w:val="7"/>
  </w:num>
  <w:num w:numId="33" w16cid:durableId="2140830164">
    <w:abstractNumId w:val="6"/>
  </w:num>
  <w:num w:numId="34" w16cid:durableId="517085391">
    <w:abstractNumId w:val="5"/>
  </w:num>
  <w:num w:numId="35" w16cid:durableId="1645157617">
    <w:abstractNumId w:val="4"/>
  </w:num>
  <w:num w:numId="36" w16cid:durableId="1139882066">
    <w:abstractNumId w:val="8"/>
  </w:num>
  <w:num w:numId="37" w16cid:durableId="1183935908">
    <w:abstractNumId w:val="3"/>
  </w:num>
  <w:num w:numId="38" w16cid:durableId="445546365">
    <w:abstractNumId w:val="2"/>
  </w:num>
  <w:num w:numId="39" w16cid:durableId="357388877">
    <w:abstractNumId w:val="1"/>
  </w:num>
  <w:num w:numId="40" w16cid:durableId="878738004">
    <w:abstractNumId w:val="0"/>
  </w:num>
  <w:num w:numId="41" w16cid:durableId="1892885989">
    <w:abstractNumId w:val="10"/>
  </w:num>
  <w:num w:numId="42" w16cid:durableId="1881285099">
    <w:abstractNumId w:val="10"/>
  </w:num>
  <w:num w:numId="43" w16cid:durableId="2097239491">
    <w:abstractNumId w:val="10"/>
  </w:num>
  <w:num w:numId="44" w16cid:durableId="63915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LV"/>
    <w:docVar w:name="dvnumam" w:val="0"/>
    <w:docVar w:name="dvpe" w:val="785.243"/>
    <w:docVar w:name="dvrapporteur" w:val="Referente: "/>
    <w:docVar w:name="dvstar" w:val="***II"/>
    <w:docVar w:name="dvtitre" w:val="Eiropas Parlamenta 2026. gada XX. XXX normatīvā rezolūcija par Padomes nostāju pirmajā lasījumā, lai pieņemtu Eiropas Parlamenta un Padomes direktīvu, ar ko groza Direktīvu 2014/49/ES attiecībā uz noguldījumu aizsardzības tvērumu, noguldījumu garantiju sistēmas līdzekļu izmantošanu, pārrobežu sadarbību un pārredzamību(15484/1/25 – C10-0074/2026 – 2023/0115(COD))"/>
  </w:docVars>
  <w:rsids>
    <w:rsidRoot w:val="00D2346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6A0"/>
    <w:rsid w:val="001F32AE"/>
    <w:rsid w:val="00214186"/>
    <w:rsid w:val="00240FF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313"/>
    <w:rsid w:val="005C2568"/>
    <w:rsid w:val="005F1B17"/>
    <w:rsid w:val="006037C0"/>
    <w:rsid w:val="006631B6"/>
    <w:rsid w:val="00680577"/>
    <w:rsid w:val="006F74FA"/>
    <w:rsid w:val="00731ADD"/>
    <w:rsid w:val="00734777"/>
    <w:rsid w:val="00741BD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C5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10E"/>
    <w:rsid w:val="00B558F0"/>
    <w:rsid w:val="00BD48FE"/>
    <w:rsid w:val="00BD7BD8"/>
    <w:rsid w:val="00BE6ADC"/>
    <w:rsid w:val="00C05BFE"/>
    <w:rsid w:val="00C23CD4"/>
    <w:rsid w:val="00C54CD3"/>
    <w:rsid w:val="00C61C0C"/>
    <w:rsid w:val="00C941CB"/>
    <w:rsid w:val="00CC2357"/>
    <w:rsid w:val="00CD30C0"/>
    <w:rsid w:val="00CF071A"/>
    <w:rsid w:val="00D058B8"/>
    <w:rsid w:val="00D2346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A2C77"/>
  <w15:chartTrackingRefBased/>
  <w15:docId w15:val="{E9B7BFE0-BC87-4260-A44C-6CB4A529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5313"/>
    <w:pPr>
      <w:spacing w:before="480" w:after="240"/>
    </w:pPr>
  </w:style>
  <w:style w:type="paragraph" w:customStyle="1" w:styleId="NormalBold">
    <w:name w:val="NormalBold"/>
    <w:basedOn w:val="Normal"/>
    <w:rsid w:val="00565313"/>
    <w:rPr>
      <w:b/>
    </w:rPr>
  </w:style>
  <w:style w:type="paragraph" w:customStyle="1" w:styleId="NormalBold12a">
    <w:name w:val="NormalBold12a"/>
    <w:basedOn w:val="Normal"/>
    <w:rsid w:val="0056531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653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D30C0"/>
    <w:rPr>
      <w:sz w:val="24"/>
      <w:lang w:val="lv-LV"/>
    </w:rPr>
  </w:style>
  <w:style w:type="character" w:styleId="CommentReference">
    <w:name w:val="annotation reference"/>
    <w:basedOn w:val="DefaultParagraphFont"/>
    <w:rsid w:val="00CD30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30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30C0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CD30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30C0"/>
    <w:rPr>
      <w:b/>
      <w:bCs/>
      <w:lang w:val="lv-LV"/>
    </w:rPr>
  </w:style>
  <w:style w:type="character" w:styleId="Hyperlink">
    <w:name w:val="Hyperlink"/>
    <w:basedOn w:val="DefaultParagraphFont"/>
    <w:rsid w:val="00240F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2026-05-20T15:49:00Z</dcterms:created>
  <dcterms:modified xsi:type="dcterms:W3CDTF">2026-05-20T15:49:00Z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P10_TA(2026)0090_</vt:lpwstr>
  </property>
  <property fmtid="{D5CDD505-2E9C-101B-9397-08002B2CF9AE}" pid="4" name="&lt;Type&gt;">
    <vt:lpwstr>RR</vt:lpwstr>
  </property>
</Properties>
</file>