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55B0" w14:paraId="1DBE59C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113C8A" w14:textId="77777777" w:rsidR="00751A4A" w:rsidRPr="00DD55B0" w:rsidRDefault="00196E5C" w:rsidP="0010095E">
            <w:pPr>
              <w:pStyle w:val="EPName"/>
            </w:pPr>
            <w:r w:rsidRPr="00DD55B0">
              <w:t>Parlament Europejski</w:t>
            </w:r>
          </w:p>
          <w:p w14:paraId="6D4C638E" w14:textId="77777777" w:rsidR="00751A4A" w:rsidRPr="00DD55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55B0">
              <w:t>2024</w:t>
            </w:r>
            <w:r w:rsidR="00817416" w:rsidRPr="00DD55B0">
              <w:t>-202</w:t>
            </w:r>
            <w:r w:rsidRPr="00DD55B0">
              <w:t>9</w:t>
            </w:r>
          </w:p>
        </w:tc>
        <w:tc>
          <w:tcPr>
            <w:tcW w:w="2268" w:type="dxa"/>
            <w:shd w:val="clear" w:color="auto" w:fill="auto"/>
          </w:tcPr>
          <w:p w14:paraId="26942E3B" w14:textId="77777777" w:rsidR="00751A4A" w:rsidRPr="00DD55B0" w:rsidRDefault="00187494" w:rsidP="0010095E">
            <w:pPr>
              <w:pStyle w:val="EPLogo"/>
            </w:pPr>
            <w:r w:rsidRPr="00DD55B0">
              <w:rPr>
                <w:noProof/>
                <w:lang w:eastAsia="ja-JP"/>
              </w:rPr>
              <w:drawing>
                <wp:inline distT="0" distB="0" distL="0" distR="0" wp14:anchorId="638AE27C" wp14:editId="621F9B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875162" w14:textId="77777777" w:rsidR="00D058B8" w:rsidRPr="00DD55B0" w:rsidRDefault="00D058B8" w:rsidP="004C5D52">
      <w:pPr>
        <w:pStyle w:val="LineTop"/>
      </w:pPr>
    </w:p>
    <w:p w14:paraId="2449DC84" w14:textId="77777777" w:rsidR="00680577" w:rsidRPr="00DD55B0" w:rsidRDefault="00196E5C" w:rsidP="00680577">
      <w:pPr>
        <w:pStyle w:val="EPBodyTA1"/>
      </w:pPr>
      <w:r w:rsidRPr="00DD55B0">
        <w:t>TEKSTY PRZYJĘTE</w:t>
      </w:r>
    </w:p>
    <w:p w14:paraId="409D8B78" w14:textId="77777777" w:rsidR="00D058B8" w:rsidRPr="00DD55B0" w:rsidRDefault="00D058B8" w:rsidP="00D058B8">
      <w:pPr>
        <w:pStyle w:val="LineBottom"/>
      </w:pPr>
    </w:p>
    <w:p w14:paraId="76FC5A6D" w14:textId="2558640B" w:rsidR="00196E5C" w:rsidRPr="00DD55B0" w:rsidRDefault="00196E5C" w:rsidP="00196E5C">
      <w:pPr>
        <w:pStyle w:val="ATHeading1"/>
      </w:pPr>
      <w:bookmarkStart w:id="0" w:name="TANumber"/>
      <w:r w:rsidRPr="00DD55B0">
        <w:t>P10_TA(2026)00</w:t>
      </w:r>
      <w:r w:rsidR="0098688F">
        <w:t>9</w:t>
      </w:r>
      <w:r w:rsidRPr="00DD55B0">
        <w:t>0</w:t>
      </w:r>
      <w:bookmarkEnd w:id="0"/>
    </w:p>
    <w:p w14:paraId="4A25EDA6" w14:textId="7B803073" w:rsidR="00196E5C" w:rsidRPr="003D79B1" w:rsidRDefault="003D79B1" w:rsidP="003D79B1">
      <w:pPr>
        <w:pStyle w:val="ATHeading2"/>
      </w:pPr>
      <w:r w:rsidRPr="003D79B1">
        <w:rPr>
          <w:bCs/>
        </w:rPr>
        <w:t>Zakres gwarantowania depozytów, wykorzystywanie funduszy systemów</w:t>
      </w:r>
      <w:r>
        <w:rPr>
          <w:bCs/>
        </w:rPr>
        <w:t xml:space="preserve"> </w:t>
      </w:r>
      <w:r w:rsidRPr="003D79B1">
        <w:rPr>
          <w:bCs/>
        </w:rPr>
        <w:t>gwarancji depozytów, współpraca transgraniczna oraz przejrzystość</w:t>
      </w:r>
    </w:p>
    <w:p w14:paraId="2C1AE26E" w14:textId="77777777" w:rsidR="00196E5C" w:rsidRPr="00DD55B0" w:rsidRDefault="00196E5C" w:rsidP="00196E5C">
      <w:pPr>
        <w:rPr>
          <w:i/>
          <w:vanish/>
        </w:rPr>
      </w:pPr>
      <w:r w:rsidRPr="00DD55B0">
        <w:rPr>
          <w:i/>
        </w:rPr>
        <w:fldChar w:fldCharType="begin"/>
      </w:r>
      <w:r w:rsidRPr="00DD55B0">
        <w:rPr>
          <w:i/>
        </w:rPr>
        <w:instrText xml:space="preserve"> TC"(</w:instrText>
      </w:r>
      <w:bookmarkStart w:id="1" w:name="DocNumber"/>
      <w:r w:rsidRPr="00DD55B0">
        <w:rPr>
          <w:i/>
        </w:rPr>
        <w:instrText>A10-0065/2026</w:instrText>
      </w:r>
      <w:bookmarkEnd w:id="1"/>
      <w:r w:rsidRPr="00DD55B0">
        <w:rPr>
          <w:i/>
        </w:rPr>
        <w:instrText xml:space="preserve"> - Sprawozdawca: Kira Marie Peter-Hansen)"\l3 \n&gt; \* MERGEFORMAT </w:instrText>
      </w:r>
      <w:r w:rsidRPr="00DD55B0">
        <w:rPr>
          <w:i/>
        </w:rPr>
        <w:fldChar w:fldCharType="end"/>
      </w:r>
    </w:p>
    <w:p w14:paraId="1E6D69BC" w14:textId="77777777" w:rsidR="00196E5C" w:rsidRPr="00DD55B0" w:rsidRDefault="00196E5C" w:rsidP="00196E5C">
      <w:pPr>
        <w:rPr>
          <w:vanish/>
        </w:rPr>
      </w:pPr>
      <w:bookmarkStart w:id="2" w:name="Commission"/>
      <w:r w:rsidRPr="00DD55B0">
        <w:rPr>
          <w:vanish/>
        </w:rPr>
        <w:t>Komisja Gospodarcza i Monetarna</w:t>
      </w:r>
      <w:bookmarkEnd w:id="2"/>
    </w:p>
    <w:p w14:paraId="667E079E" w14:textId="77777777" w:rsidR="00196E5C" w:rsidRPr="00DD55B0" w:rsidRDefault="00196E5C" w:rsidP="00196E5C">
      <w:pPr>
        <w:rPr>
          <w:vanish/>
        </w:rPr>
      </w:pPr>
      <w:bookmarkStart w:id="3" w:name="PE"/>
      <w:r w:rsidRPr="00DD55B0">
        <w:rPr>
          <w:vanish/>
        </w:rPr>
        <w:t>PE785.243</w:t>
      </w:r>
      <w:bookmarkEnd w:id="3"/>
    </w:p>
    <w:p w14:paraId="0BF72CB1" w14:textId="12207048" w:rsidR="00196E5C" w:rsidRPr="00DD55B0" w:rsidRDefault="00196E5C" w:rsidP="00196E5C">
      <w:pPr>
        <w:pStyle w:val="ATHeading3"/>
      </w:pPr>
      <w:bookmarkStart w:id="4" w:name="Sujet"/>
      <w:r w:rsidRPr="00DD55B0">
        <w:t xml:space="preserve">Rezolucja ustawodawcza Parlamentu Europejskiego z dnia </w:t>
      </w:r>
      <w:r w:rsidR="003D79B1">
        <w:t>26 marca</w:t>
      </w:r>
      <w:r w:rsidRPr="00DD55B0">
        <w:t xml:space="preserve"> 2026 r. w sprawie stanowiska Rady w pierwszym czytaniu z myślą o przyjęciu dyrektywy Parlamentu Europejskiego i Rady w sprawie zmiany dyrektywy 2014/49/UE w odniesieniu do zakresu ochrony depozytów, wykorzystywania środków z systemów gwarancji depozytów, współpracy transgranicznej i przejrzystości</w:t>
      </w:r>
      <w:bookmarkEnd w:id="4"/>
      <w:r w:rsidRPr="00DD55B0">
        <w:t xml:space="preserve"> </w:t>
      </w:r>
      <w:bookmarkStart w:id="5" w:name="References"/>
      <w:r w:rsidRPr="00DD55B0">
        <w:t>(15484/1/25 – C10-0074/2026 – 2023/0115(COD))</w:t>
      </w:r>
      <w:bookmarkEnd w:id="5"/>
    </w:p>
    <w:p w14:paraId="1D151035" w14:textId="77777777" w:rsidR="00742BA8" w:rsidRPr="00DD55B0" w:rsidRDefault="00742BA8" w:rsidP="00742BA8">
      <w:pPr>
        <w:pStyle w:val="NormalBold"/>
      </w:pPr>
      <w:r w:rsidRPr="00DD55B0">
        <w:t>(Zwykła procedura ustawodawcza: drugie czytanie)</w:t>
      </w:r>
    </w:p>
    <w:p w14:paraId="4C1B8750" w14:textId="77777777" w:rsidR="00742BA8" w:rsidRPr="00DD55B0" w:rsidRDefault="00742BA8" w:rsidP="00742BA8">
      <w:pPr>
        <w:pStyle w:val="EPComma"/>
      </w:pPr>
      <w:r w:rsidRPr="00DD55B0">
        <w:rPr>
          <w:i/>
        </w:rPr>
        <w:t>Parlament Europejski</w:t>
      </w:r>
      <w:r w:rsidRPr="00DD55B0">
        <w:t>,</w:t>
      </w:r>
    </w:p>
    <w:p w14:paraId="5722E708" w14:textId="77777777" w:rsidR="00742BA8" w:rsidRPr="00DD55B0" w:rsidRDefault="00742BA8" w:rsidP="00742BA8">
      <w:pPr>
        <w:pStyle w:val="NormalHanging12a"/>
      </w:pPr>
      <w:r w:rsidRPr="00DD55B0">
        <w:t>–</w:t>
      </w:r>
      <w:r w:rsidRPr="00DD55B0">
        <w:tab/>
        <w:t>uwzględniając stanowisko Rady w pierwszym czytaniu (15484/1/25 – C10-0074/2026),</w:t>
      </w:r>
    </w:p>
    <w:p w14:paraId="710613B1" w14:textId="2CA2A5A7" w:rsidR="00742BA8" w:rsidRPr="00DD55B0" w:rsidRDefault="00742BA8" w:rsidP="00742BA8">
      <w:pPr>
        <w:pStyle w:val="NormalHanging12a"/>
      </w:pPr>
      <w:r w:rsidRPr="00DD55B0">
        <w:t>–</w:t>
      </w:r>
      <w:r w:rsidRPr="00DD55B0">
        <w:tab/>
        <w:t xml:space="preserve">uwzględniając opinię Europejskiego Banku Centralnego z </w:t>
      </w:r>
      <w:r w:rsidR="003D79B1">
        <w:t xml:space="preserve">dnia </w:t>
      </w:r>
      <w:r w:rsidRPr="00DD55B0">
        <w:t>5 lipca 2023 r.</w:t>
      </w:r>
      <w:r w:rsidRPr="00DD55B0">
        <w:rPr>
          <w:vertAlign w:val="superscript"/>
        </w:rPr>
        <w:footnoteReference w:id="1"/>
      </w:r>
      <w:r w:rsidRPr="00DD55B0">
        <w:t>,</w:t>
      </w:r>
    </w:p>
    <w:p w14:paraId="112E5BD3" w14:textId="77777777" w:rsidR="00742BA8" w:rsidRPr="00DD55B0" w:rsidRDefault="00742BA8" w:rsidP="00742BA8">
      <w:pPr>
        <w:pStyle w:val="NormalHanging12a"/>
      </w:pPr>
      <w:r w:rsidRPr="00DD55B0">
        <w:t>–</w:t>
      </w:r>
      <w:r w:rsidRPr="00DD55B0">
        <w:tab/>
        <w:t>uwzględniając swoje stanowisko w pierwszym czytaniu</w:t>
      </w:r>
      <w:r w:rsidRPr="00DD55B0">
        <w:rPr>
          <w:rStyle w:val="FootnoteReference"/>
        </w:rPr>
        <w:footnoteReference w:id="2"/>
      </w:r>
      <w:r w:rsidRPr="00DD55B0">
        <w:t xml:space="preserve"> w sprawie wniosku Komisji przedstawionego Parlamentowi Europejskiemu i Radzie (</w:t>
      </w:r>
      <w:proofErr w:type="gramStart"/>
      <w:r w:rsidRPr="00DD55B0">
        <w:t>COM(</w:t>
      </w:r>
      <w:proofErr w:type="gramEnd"/>
      <w:r w:rsidRPr="00DD55B0">
        <w:t>2023)0228),</w:t>
      </w:r>
    </w:p>
    <w:p w14:paraId="3A855E22" w14:textId="77777777" w:rsidR="00742BA8" w:rsidRPr="00DD55B0" w:rsidRDefault="00742BA8" w:rsidP="00742BA8">
      <w:pPr>
        <w:pStyle w:val="NormalHanging12a"/>
      </w:pPr>
      <w:r w:rsidRPr="00DD55B0">
        <w:t>–</w:t>
      </w:r>
      <w:r w:rsidRPr="00DD55B0">
        <w:tab/>
        <w:t>uwzględniając art. 294 ust. 7 Traktatu o funkcjonowaniu Unii Europejskiej,</w:t>
      </w:r>
    </w:p>
    <w:p w14:paraId="297905D6" w14:textId="77777777" w:rsidR="00742BA8" w:rsidRPr="00DD55B0" w:rsidRDefault="00742BA8" w:rsidP="00742BA8">
      <w:pPr>
        <w:pStyle w:val="NormalHanging12a"/>
      </w:pPr>
      <w:r w:rsidRPr="00DD55B0">
        <w:t>–</w:t>
      </w:r>
      <w:r w:rsidRPr="00DD55B0">
        <w:tab/>
        <w:t>uwzględniając wstępne porozumienie zatwierdzone przez komisję przedmiotowo właściwą na podstawie art. 75 ust. 4 Regulaminu,</w:t>
      </w:r>
    </w:p>
    <w:p w14:paraId="22E1A129" w14:textId="77777777" w:rsidR="00742BA8" w:rsidRPr="00DD55B0" w:rsidRDefault="00742BA8" w:rsidP="00742BA8">
      <w:pPr>
        <w:pStyle w:val="NormalHanging12a"/>
      </w:pPr>
      <w:r w:rsidRPr="00DD55B0">
        <w:t>–</w:t>
      </w:r>
      <w:r w:rsidRPr="00DD55B0">
        <w:tab/>
        <w:t>uwzględniając art. 68 Regulaminu,</w:t>
      </w:r>
    </w:p>
    <w:p w14:paraId="44F06122" w14:textId="77777777" w:rsidR="00742BA8" w:rsidRPr="00DD55B0" w:rsidRDefault="00742BA8" w:rsidP="00742BA8">
      <w:pPr>
        <w:pStyle w:val="NormalHanging12a"/>
      </w:pPr>
      <w:r w:rsidRPr="00DD55B0">
        <w:t>–</w:t>
      </w:r>
      <w:r w:rsidRPr="00DD55B0">
        <w:tab/>
        <w:t>uwzględniając zalecenia do drugiego czytania przedstawione przez Komisję Gospodarczą i Monetarną (A10-0065/2026),</w:t>
      </w:r>
    </w:p>
    <w:p w14:paraId="54CB3AE1" w14:textId="77777777" w:rsidR="00742BA8" w:rsidRPr="00DD55B0" w:rsidRDefault="00742BA8" w:rsidP="00742BA8">
      <w:pPr>
        <w:pStyle w:val="NormalHanging12a"/>
      </w:pPr>
      <w:r w:rsidRPr="00DD55B0">
        <w:t>1.</w:t>
      </w:r>
      <w:r w:rsidRPr="00DD55B0">
        <w:tab/>
        <w:t>zatwierdza stanowisko Rady przyjęte w pierwszym czytaniu;</w:t>
      </w:r>
    </w:p>
    <w:p w14:paraId="139EA84D" w14:textId="77777777" w:rsidR="00742BA8" w:rsidRPr="00DD55B0" w:rsidRDefault="00742BA8" w:rsidP="00742BA8">
      <w:pPr>
        <w:pStyle w:val="NormalHanging12a"/>
      </w:pPr>
      <w:r w:rsidRPr="00DD55B0">
        <w:lastRenderedPageBreak/>
        <w:t>2.</w:t>
      </w:r>
      <w:r w:rsidRPr="00DD55B0">
        <w:tab/>
        <w:t>stwierdza, że akt prawny zostaje przyjęty zgodnie ze stanowiskiem Rady;</w:t>
      </w:r>
    </w:p>
    <w:p w14:paraId="48AB4E4A" w14:textId="77777777" w:rsidR="00742BA8" w:rsidRPr="00DD55B0" w:rsidRDefault="00742BA8" w:rsidP="00742BA8">
      <w:pPr>
        <w:pStyle w:val="NormalHanging12a"/>
      </w:pPr>
      <w:r w:rsidRPr="00DD55B0">
        <w:t>3.</w:t>
      </w:r>
      <w:r w:rsidRPr="00DD55B0">
        <w:tab/>
        <w:t>zobowiązuje swoją przewodniczącą do podpisania wraz z przewodniczącym Rady aktu prawnego zgodnie z art. 297 ust. 1 Traktatu o funkcjonowaniu Unii Europejskiej;</w:t>
      </w:r>
    </w:p>
    <w:p w14:paraId="6EE74F30" w14:textId="77777777" w:rsidR="00742BA8" w:rsidRPr="00DD55B0" w:rsidRDefault="00742BA8" w:rsidP="00742BA8">
      <w:pPr>
        <w:pStyle w:val="NormalHanging12a"/>
      </w:pPr>
      <w:r w:rsidRPr="00DD55B0">
        <w:t>4.</w:t>
      </w:r>
      <w:r w:rsidRPr="00DD55B0">
        <w:tab/>
        <w:t xml:space="preserve">zobowiązuje swojego sekretarza generalnego do podpisania aktu prawnego po stwierdzeniu, że wszystkie procedury zostały prawidłowo zakończone, oraz do przygotowania, w porozumieniu z sekretarzem generalnym Rady, jego publikacji w </w:t>
      </w:r>
      <w:r w:rsidRPr="00DD55B0">
        <w:rPr>
          <w:i/>
          <w:iCs/>
        </w:rPr>
        <w:t>Dzienniku Urzędowym Unii Europejskiej</w:t>
      </w:r>
      <w:r w:rsidRPr="00DD55B0">
        <w:t>;</w:t>
      </w:r>
    </w:p>
    <w:p w14:paraId="3AD5CA44" w14:textId="1DFB6CDC" w:rsidR="00DD55B0" w:rsidRPr="00DD55B0" w:rsidRDefault="00742BA8" w:rsidP="00DD55B0">
      <w:pPr>
        <w:pStyle w:val="NormalHanging12a"/>
      </w:pPr>
      <w:r w:rsidRPr="00DD55B0">
        <w:t>5.</w:t>
      </w:r>
      <w:r w:rsidRPr="00DD55B0">
        <w:tab/>
        <w:t>zobowiązuje swoją przewodniczącą do przekazania stanowiska Parlamentu Radzie i Komisji oraz parlamentom narodowym.</w:t>
      </w:r>
    </w:p>
    <w:p w14:paraId="08C1D65F" w14:textId="622DA2E4" w:rsidR="00E365E1" w:rsidRPr="00DD55B0" w:rsidRDefault="00E365E1" w:rsidP="00196E5C"/>
    <w:sectPr w:rsidR="00E365E1" w:rsidRPr="00DD55B0" w:rsidSect="00DD55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BCC9D" w14:textId="77777777" w:rsidR="00196E5C" w:rsidRPr="00DD55B0" w:rsidRDefault="00196E5C">
      <w:r w:rsidRPr="00DD55B0">
        <w:separator/>
      </w:r>
    </w:p>
  </w:endnote>
  <w:endnote w:type="continuationSeparator" w:id="0">
    <w:p w14:paraId="04F5785D" w14:textId="77777777" w:rsidR="00196E5C" w:rsidRPr="00DD55B0" w:rsidRDefault="00196E5C">
      <w:r w:rsidRPr="00DD55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40053" w14:textId="77777777" w:rsidR="00064002" w:rsidRPr="00DD55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0C841" w14:textId="77777777" w:rsidR="00064002" w:rsidRPr="00DD55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A018C" w14:textId="77777777" w:rsidR="00064002" w:rsidRPr="00DD55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D5F35" w14:textId="77777777" w:rsidR="00196E5C" w:rsidRPr="00DD55B0" w:rsidRDefault="00196E5C">
      <w:r w:rsidRPr="00DD55B0">
        <w:separator/>
      </w:r>
    </w:p>
  </w:footnote>
  <w:footnote w:type="continuationSeparator" w:id="0">
    <w:p w14:paraId="209839AB" w14:textId="77777777" w:rsidR="00196E5C" w:rsidRPr="00DD55B0" w:rsidRDefault="00196E5C">
      <w:r w:rsidRPr="00DD55B0">
        <w:continuationSeparator/>
      </w:r>
    </w:p>
  </w:footnote>
  <w:footnote w:id="1">
    <w:p w14:paraId="649622E7" w14:textId="75391E8A" w:rsidR="00742BA8" w:rsidRPr="00DD55B0" w:rsidRDefault="00742BA8" w:rsidP="00DD55B0">
      <w:pPr>
        <w:pStyle w:val="FootnoteText"/>
        <w:ind w:left="567" w:hanging="567"/>
        <w:rPr>
          <w:b/>
          <w:bCs/>
          <w:sz w:val="24"/>
          <w:lang w:val="pl-PL"/>
        </w:rPr>
      </w:pPr>
      <w:r w:rsidRPr="00DD55B0">
        <w:rPr>
          <w:rStyle w:val="FootnoteReference"/>
          <w:sz w:val="24"/>
          <w:lang w:val="pl-PL"/>
        </w:rPr>
        <w:footnoteRef/>
      </w:r>
      <w:r w:rsidR="00DD55B0" w:rsidRPr="00DD55B0">
        <w:rPr>
          <w:sz w:val="24"/>
          <w:lang w:val="pl-PL"/>
        </w:rPr>
        <w:t xml:space="preserve"> </w:t>
      </w:r>
      <w:r w:rsidR="00DD55B0" w:rsidRPr="00DD55B0">
        <w:rPr>
          <w:sz w:val="24"/>
          <w:lang w:val="pl-PL"/>
        </w:rPr>
        <w:tab/>
      </w:r>
      <w:r w:rsidRPr="00DD55B0">
        <w:rPr>
          <w:sz w:val="24"/>
          <w:lang w:val="pl-PL"/>
        </w:rPr>
        <w:t xml:space="preserve">Dz.U. C 307 z </w:t>
      </w:r>
      <w:proofErr w:type="gramStart"/>
      <w:r w:rsidRPr="00DD55B0">
        <w:rPr>
          <w:sz w:val="24"/>
          <w:lang w:val="pl-PL"/>
        </w:rPr>
        <w:t>31.8.2023</w:t>
      </w:r>
      <w:proofErr w:type="gramEnd"/>
      <w:r w:rsidRPr="00DD55B0">
        <w:rPr>
          <w:sz w:val="24"/>
          <w:lang w:val="pl-PL"/>
        </w:rPr>
        <w:t>, s. 19.</w:t>
      </w:r>
    </w:p>
  </w:footnote>
  <w:footnote w:id="2">
    <w:p w14:paraId="6EC5E922" w14:textId="1B4DD6D0" w:rsidR="00742BA8" w:rsidRPr="0098688F" w:rsidRDefault="00742BA8" w:rsidP="00DD55B0">
      <w:pPr>
        <w:pStyle w:val="FootnoteText"/>
        <w:ind w:left="567" w:hanging="567"/>
        <w:rPr>
          <w:sz w:val="24"/>
          <w:lang w:val="fi-FI"/>
        </w:rPr>
      </w:pPr>
      <w:r w:rsidRPr="00DD55B0">
        <w:rPr>
          <w:rStyle w:val="FootnoteReference"/>
          <w:sz w:val="24"/>
          <w:lang w:val="pl-PL"/>
        </w:rPr>
        <w:footnoteRef/>
      </w:r>
      <w:r w:rsidR="00DD55B0" w:rsidRPr="0098688F">
        <w:rPr>
          <w:sz w:val="24"/>
          <w:lang w:val="fi-FI"/>
        </w:rPr>
        <w:t xml:space="preserve"> </w:t>
      </w:r>
      <w:r w:rsidR="00DD55B0" w:rsidRPr="0098688F">
        <w:rPr>
          <w:sz w:val="24"/>
          <w:lang w:val="fi-FI"/>
        </w:rPr>
        <w:tab/>
      </w:r>
      <w:r w:rsidR="003D79B1" w:rsidRPr="0098688F">
        <w:rPr>
          <w:sz w:val="24"/>
          <w:lang w:val="fi-FI"/>
        </w:rPr>
        <w:t xml:space="preserve">Dz.U. C, C/2025/3754, 17.9.2025, ELI: </w:t>
      </w:r>
      <w:hyperlink r:id="rId1" w:history="1">
        <w:r w:rsidR="003D79B1" w:rsidRPr="0098688F">
          <w:rPr>
            <w:rStyle w:val="Hyperlink"/>
            <w:sz w:val="24"/>
            <w:lang w:val="fi-FI"/>
          </w:rPr>
          <w:t>http://data.europa.eu/eli/C/2025/3754/oj</w:t>
        </w:r>
      </w:hyperlink>
      <w:r w:rsidRPr="0098688F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11D61" w14:textId="77777777" w:rsidR="00064002" w:rsidRPr="00DD55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23F1D" w14:textId="77777777" w:rsidR="00064002" w:rsidRPr="00DD55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DE729" w14:textId="77777777" w:rsidR="00064002" w:rsidRPr="00DD55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86533438">
    <w:abstractNumId w:val="9"/>
  </w:num>
  <w:num w:numId="2" w16cid:durableId="1652245074">
    <w:abstractNumId w:val="9"/>
  </w:num>
  <w:num w:numId="3" w16cid:durableId="1735816018">
    <w:abstractNumId w:val="7"/>
  </w:num>
  <w:num w:numId="4" w16cid:durableId="138689030">
    <w:abstractNumId w:val="7"/>
  </w:num>
  <w:num w:numId="5" w16cid:durableId="932590411">
    <w:abstractNumId w:val="6"/>
  </w:num>
  <w:num w:numId="6" w16cid:durableId="2004317256">
    <w:abstractNumId w:val="6"/>
  </w:num>
  <w:num w:numId="7" w16cid:durableId="153302429">
    <w:abstractNumId w:val="5"/>
  </w:num>
  <w:num w:numId="8" w16cid:durableId="1847790300">
    <w:abstractNumId w:val="5"/>
  </w:num>
  <w:num w:numId="9" w16cid:durableId="1228764108">
    <w:abstractNumId w:val="4"/>
  </w:num>
  <w:num w:numId="10" w16cid:durableId="1693647912">
    <w:abstractNumId w:val="4"/>
  </w:num>
  <w:num w:numId="11" w16cid:durableId="1306203591">
    <w:abstractNumId w:val="8"/>
  </w:num>
  <w:num w:numId="12" w16cid:durableId="1813908994">
    <w:abstractNumId w:val="8"/>
  </w:num>
  <w:num w:numId="13" w16cid:durableId="2048948451">
    <w:abstractNumId w:val="3"/>
  </w:num>
  <w:num w:numId="14" w16cid:durableId="549462260">
    <w:abstractNumId w:val="3"/>
  </w:num>
  <w:num w:numId="15" w16cid:durableId="1159225698">
    <w:abstractNumId w:val="2"/>
  </w:num>
  <w:num w:numId="16" w16cid:durableId="44258347">
    <w:abstractNumId w:val="2"/>
  </w:num>
  <w:num w:numId="17" w16cid:durableId="1695228721">
    <w:abstractNumId w:val="1"/>
  </w:num>
  <w:num w:numId="18" w16cid:durableId="1824463824">
    <w:abstractNumId w:val="1"/>
  </w:num>
  <w:num w:numId="19" w16cid:durableId="316423418">
    <w:abstractNumId w:val="0"/>
  </w:num>
  <w:num w:numId="20" w16cid:durableId="1638031027">
    <w:abstractNumId w:val="0"/>
  </w:num>
  <w:num w:numId="21" w16cid:durableId="993802983">
    <w:abstractNumId w:val="9"/>
  </w:num>
  <w:num w:numId="22" w16cid:durableId="631718931">
    <w:abstractNumId w:val="7"/>
  </w:num>
  <w:num w:numId="23" w16cid:durableId="1605503027">
    <w:abstractNumId w:val="6"/>
  </w:num>
  <w:num w:numId="24" w16cid:durableId="1074669706">
    <w:abstractNumId w:val="5"/>
  </w:num>
  <w:num w:numId="25" w16cid:durableId="1117748842">
    <w:abstractNumId w:val="4"/>
  </w:num>
  <w:num w:numId="26" w16cid:durableId="32535916">
    <w:abstractNumId w:val="8"/>
  </w:num>
  <w:num w:numId="27" w16cid:durableId="35589371">
    <w:abstractNumId w:val="3"/>
  </w:num>
  <w:num w:numId="28" w16cid:durableId="975598352">
    <w:abstractNumId w:val="2"/>
  </w:num>
  <w:num w:numId="29" w16cid:durableId="1514757430">
    <w:abstractNumId w:val="1"/>
  </w:num>
  <w:num w:numId="30" w16cid:durableId="631250578">
    <w:abstractNumId w:val="0"/>
  </w:num>
  <w:num w:numId="31" w16cid:durableId="1887528384">
    <w:abstractNumId w:val="9"/>
  </w:num>
  <w:num w:numId="32" w16cid:durableId="1551647657">
    <w:abstractNumId w:val="7"/>
  </w:num>
  <w:num w:numId="33" w16cid:durableId="1650666015">
    <w:abstractNumId w:val="6"/>
  </w:num>
  <w:num w:numId="34" w16cid:durableId="2016418164">
    <w:abstractNumId w:val="5"/>
  </w:num>
  <w:num w:numId="35" w16cid:durableId="702822555">
    <w:abstractNumId w:val="4"/>
  </w:num>
  <w:num w:numId="36" w16cid:durableId="513567935">
    <w:abstractNumId w:val="8"/>
  </w:num>
  <w:num w:numId="37" w16cid:durableId="1195651341">
    <w:abstractNumId w:val="3"/>
  </w:num>
  <w:num w:numId="38" w16cid:durableId="694623158">
    <w:abstractNumId w:val="2"/>
  </w:num>
  <w:num w:numId="39" w16cid:durableId="1645356604">
    <w:abstractNumId w:val="1"/>
  </w:num>
  <w:num w:numId="40" w16cid:durableId="2036034442">
    <w:abstractNumId w:val="0"/>
  </w:num>
  <w:num w:numId="41" w16cid:durableId="1083067495">
    <w:abstractNumId w:val="10"/>
  </w:num>
  <w:num w:numId="42" w16cid:durableId="1181430830">
    <w:abstractNumId w:val="10"/>
  </w:num>
  <w:num w:numId="43" w16cid:durableId="638220492">
    <w:abstractNumId w:val="10"/>
  </w:num>
  <w:num w:numId="44" w16cid:durableId="16435793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PL"/>
    <w:docVar w:name="dvnumam" w:val="0"/>
    <w:docVar w:name="dvpe" w:val="785.243"/>
    <w:docVar w:name="dvrapporteur" w:val="Sprawozdawca: "/>
    <w:docVar w:name="dvstar" w:val="***II"/>
    <w:docVar w:name="dvtitre" w:val="Rezolucja ustawodawcza Parlamentu Europejskiego z dnia  2026 r. w sprawie stanowiska Rady w pierwszym czytaniu z myślą o przyjęciu dyrektywy Parlamentu Europejskiego i Rady w sprawie zmiany dyrektywy 2014/49/UE w odniesieniu do zakresu ochrony depozytów, wykorzystywania środków z systemów gwarancji depozytów, współpracy transgranicznej i przejrzystości(15484/1/25 – C10-0074/2026 – 2023/0115(COD))"/>
  </w:docVars>
  <w:rsids>
    <w:rsidRoot w:val="00196E5C"/>
    <w:rsid w:val="00002272"/>
    <w:rsid w:val="00014A33"/>
    <w:rsid w:val="00064002"/>
    <w:rsid w:val="000677B9"/>
    <w:rsid w:val="000831BA"/>
    <w:rsid w:val="000A42CC"/>
    <w:rsid w:val="000E7DD9"/>
    <w:rsid w:val="0010095E"/>
    <w:rsid w:val="00125B37"/>
    <w:rsid w:val="00187494"/>
    <w:rsid w:val="00196E5C"/>
    <w:rsid w:val="001F32AE"/>
    <w:rsid w:val="002767FF"/>
    <w:rsid w:val="002B18FE"/>
    <w:rsid w:val="002B5493"/>
    <w:rsid w:val="00343214"/>
    <w:rsid w:val="00361C00"/>
    <w:rsid w:val="00395FA1"/>
    <w:rsid w:val="003D79B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2BA8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88F"/>
    <w:rsid w:val="00A1687D"/>
    <w:rsid w:val="00A43E52"/>
    <w:rsid w:val="00A4678D"/>
    <w:rsid w:val="00A778C7"/>
    <w:rsid w:val="00A87FC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55B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B30FDF"/>
  <w15:chartTrackingRefBased/>
  <w15:docId w15:val="{F2BD3872-85A3-428F-89BF-2324FA5F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42BA8"/>
    <w:pPr>
      <w:spacing w:before="480" w:after="240"/>
    </w:pPr>
  </w:style>
  <w:style w:type="paragraph" w:customStyle="1" w:styleId="PageHeading">
    <w:name w:val="PageHeading"/>
    <w:basedOn w:val="Normal"/>
    <w:rsid w:val="00742BA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42BA8"/>
    <w:rPr>
      <w:b/>
    </w:rPr>
  </w:style>
  <w:style w:type="paragraph" w:customStyle="1" w:styleId="NormalHanging12a">
    <w:name w:val="NormalHanging12a"/>
    <w:basedOn w:val="Normal"/>
    <w:rsid w:val="00742BA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D79B1"/>
    <w:rPr>
      <w:sz w:val="24"/>
      <w:lang w:val="pl-PL"/>
    </w:rPr>
  </w:style>
  <w:style w:type="character" w:styleId="Hyperlink">
    <w:name w:val="Hyperlink"/>
    <w:basedOn w:val="DefaultParagraphFont"/>
    <w:rsid w:val="003D79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79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2026-03-26T10:53:00Z</dcterms:created>
  <dcterms:modified xsi:type="dcterms:W3CDTF">2026-03-26T10:53:00Z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