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6DCF" w14:paraId="191DFA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8B5726" w14:textId="77777777" w:rsidR="00751A4A" w:rsidRPr="00116DCF" w:rsidRDefault="008B05DC" w:rsidP="0010095E">
            <w:pPr>
              <w:pStyle w:val="EPName"/>
            </w:pPr>
            <w:r w:rsidRPr="00116DCF">
              <w:t>Európsky parlament</w:t>
            </w:r>
          </w:p>
          <w:p w14:paraId="3D9B12DE" w14:textId="77777777" w:rsidR="00751A4A" w:rsidRPr="00116D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6DCF">
              <w:t>2024</w:t>
            </w:r>
            <w:r w:rsidR="00817416" w:rsidRPr="00116DCF">
              <w:t>-202</w:t>
            </w:r>
            <w:r w:rsidRPr="00116DCF">
              <w:t>9</w:t>
            </w:r>
          </w:p>
        </w:tc>
        <w:tc>
          <w:tcPr>
            <w:tcW w:w="2268" w:type="dxa"/>
            <w:shd w:val="clear" w:color="auto" w:fill="auto"/>
          </w:tcPr>
          <w:p w14:paraId="012F92C3" w14:textId="77777777" w:rsidR="00751A4A" w:rsidRPr="00116DCF" w:rsidRDefault="00187494" w:rsidP="0010095E">
            <w:pPr>
              <w:pStyle w:val="EPLogo"/>
            </w:pPr>
            <w:r w:rsidRPr="00116DCF">
              <w:rPr>
                <w:noProof/>
                <w:lang w:eastAsia="ja-JP"/>
              </w:rPr>
              <w:drawing>
                <wp:inline distT="0" distB="0" distL="0" distR="0" wp14:anchorId="35F085C3" wp14:editId="674851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232BBB" w14:textId="77777777" w:rsidR="00D058B8" w:rsidRPr="00116DCF" w:rsidRDefault="00D058B8" w:rsidP="004C5D52">
      <w:pPr>
        <w:pStyle w:val="LineTop"/>
      </w:pPr>
    </w:p>
    <w:p w14:paraId="16515EBE" w14:textId="77777777" w:rsidR="00680577" w:rsidRPr="00116DCF" w:rsidRDefault="008B05DC" w:rsidP="00680577">
      <w:pPr>
        <w:pStyle w:val="EPBodyTA1"/>
      </w:pPr>
      <w:r w:rsidRPr="00116DCF">
        <w:t>PRIJATÉ TEXTY</w:t>
      </w:r>
    </w:p>
    <w:p w14:paraId="4AAC6AE3" w14:textId="77777777" w:rsidR="00D058B8" w:rsidRPr="00116DCF" w:rsidRDefault="00D058B8" w:rsidP="00D058B8">
      <w:pPr>
        <w:pStyle w:val="LineBottom"/>
      </w:pPr>
    </w:p>
    <w:p w14:paraId="538D7013" w14:textId="3AAB2347" w:rsidR="008B05DC" w:rsidRPr="00116DCF" w:rsidRDefault="008B05DC" w:rsidP="008B05DC">
      <w:pPr>
        <w:pStyle w:val="ATHeading1"/>
      </w:pPr>
      <w:bookmarkStart w:id="0" w:name="TANumber"/>
      <w:r w:rsidRPr="00116DCF">
        <w:t>P10_TA(2026)00</w:t>
      </w:r>
      <w:r w:rsidR="00116DCF" w:rsidRPr="00116DCF">
        <w:t>9</w:t>
      </w:r>
      <w:bookmarkEnd w:id="0"/>
      <w:r w:rsidR="004B3D42">
        <w:t>0</w:t>
      </w:r>
    </w:p>
    <w:p w14:paraId="741176BF" w14:textId="77777777" w:rsidR="008B05DC" w:rsidRPr="00116DCF" w:rsidRDefault="008B05DC" w:rsidP="008B05DC">
      <w:pPr>
        <w:pStyle w:val="ATHeading2"/>
      </w:pPr>
      <w:bookmarkStart w:id="1" w:name="title"/>
      <w:r w:rsidRPr="00116DCF">
        <w:t>Rozsah ochrany vkladov, využívanie finančných prostriedkov systémov ochrany vkladov, cezhraničná spolupráca a transparentnosť (DGSD 2)</w:t>
      </w:r>
      <w:bookmarkEnd w:id="1"/>
    </w:p>
    <w:p w14:paraId="5D05622A" w14:textId="77777777" w:rsidR="008B05DC" w:rsidRPr="00116DCF" w:rsidRDefault="008B05DC" w:rsidP="008B05DC">
      <w:pPr>
        <w:rPr>
          <w:i/>
          <w:vanish/>
        </w:rPr>
      </w:pPr>
      <w:r w:rsidRPr="00116DCF">
        <w:rPr>
          <w:i/>
        </w:rPr>
        <w:fldChar w:fldCharType="begin"/>
      </w:r>
      <w:r w:rsidRPr="00116DCF">
        <w:rPr>
          <w:i/>
        </w:rPr>
        <w:instrText xml:space="preserve"> TC"(</w:instrText>
      </w:r>
      <w:bookmarkStart w:id="2" w:name="DocNumber"/>
      <w:r w:rsidRPr="00116DCF">
        <w:rPr>
          <w:i/>
        </w:rPr>
        <w:instrText>A10-0065/2026</w:instrText>
      </w:r>
      <w:bookmarkEnd w:id="2"/>
      <w:r w:rsidRPr="00116DCF">
        <w:rPr>
          <w:i/>
        </w:rPr>
        <w:instrText xml:space="preserve"> - Spravodajkyňa: </w:instrText>
      </w:r>
      <w:proofErr w:type="spellStart"/>
      <w:r w:rsidRPr="00116DCF">
        <w:rPr>
          <w:i/>
        </w:rPr>
        <w:instrText>Kira</w:instrText>
      </w:r>
      <w:proofErr w:type="spellEnd"/>
      <w:r w:rsidRPr="00116DCF">
        <w:rPr>
          <w:i/>
        </w:rPr>
        <w:instrText xml:space="preserve"> </w:instrText>
      </w:r>
      <w:proofErr w:type="spellStart"/>
      <w:r w:rsidRPr="00116DCF">
        <w:rPr>
          <w:i/>
        </w:rPr>
        <w:instrText>Marie</w:instrText>
      </w:r>
      <w:proofErr w:type="spellEnd"/>
      <w:r w:rsidRPr="00116DCF">
        <w:rPr>
          <w:i/>
        </w:rPr>
        <w:instrText xml:space="preserve"> Peter-</w:instrText>
      </w:r>
      <w:proofErr w:type="spellStart"/>
      <w:r w:rsidRPr="00116DCF">
        <w:rPr>
          <w:i/>
        </w:rPr>
        <w:instrText>Hansen</w:instrText>
      </w:r>
      <w:proofErr w:type="spellEnd"/>
      <w:r w:rsidRPr="00116DCF">
        <w:rPr>
          <w:i/>
        </w:rPr>
        <w:instrText xml:space="preserve">)"\l3 \n&gt; \* MERGEFORMAT </w:instrText>
      </w:r>
      <w:r w:rsidRPr="00116DCF">
        <w:rPr>
          <w:i/>
        </w:rPr>
        <w:fldChar w:fldCharType="end"/>
      </w:r>
    </w:p>
    <w:p w14:paraId="3293CAF0" w14:textId="77777777" w:rsidR="008B05DC" w:rsidRPr="00116DCF" w:rsidRDefault="008B05DC" w:rsidP="008B05DC">
      <w:pPr>
        <w:rPr>
          <w:vanish/>
        </w:rPr>
      </w:pPr>
      <w:bookmarkStart w:id="3" w:name="Commission"/>
      <w:r w:rsidRPr="00116DCF">
        <w:rPr>
          <w:vanish/>
        </w:rPr>
        <w:t>Výbor pre hospodárske a menové veci</w:t>
      </w:r>
      <w:bookmarkEnd w:id="3"/>
    </w:p>
    <w:p w14:paraId="6ADD1F51" w14:textId="77777777" w:rsidR="008B05DC" w:rsidRPr="00116DCF" w:rsidRDefault="008B05DC" w:rsidP="008B05DC">
      <w:pPr>
        <w:rPr>
          <w:vanish/>
        </w:rPr>
      </w:pPr>
      <w:bookmarkStart w:id="4" w:name="PE"/>
      <w:r w:rsidRPr="00116DCF">
        <w:rPr>
          <w:vanish/>
        </w:rPr>
        <w:t>PE785.243</w:t>
      </w:r>
      <w:bookmarkEnd w:id="4"/>
    </w:p>
    <w:p w14:paraId="4007673A" w14:textId="20886E24" w:rsidR="008B05DC" w:rsidRPr="00116DCF" w:rsidRDefault="008B05DC" w:rsidP="008B05DC">
      <w:pPr>
        <w:pStyle w:val="ATHeading3"/>
      </w:pPr>
      <w:bookmarkStart w:id="5" w:name="Sujet"/>
      <w:r w:rsidRPr="00116DCF">
        <w:t>Legislatívne uznesenie Európskeho parlamentu z</w:t>
      </w:r>
      <w:r w:rsidR="005660EF" w:rsidRPr="00116DCF">
        <w:t> 26. marca</w:t>
      </w:r>
      <w:r w:rsidRPr="00116DCF">
        <w:t xml:space="preserve"> 2026 </w:t>
      </w:r>
      <w:r w:rsidR="005660EF" w:rsidRPr="00116DCF">
        <w:t>o</w:t>
      </w:r>
      <w:r w:rsidRPr="00116DCF">
        <w:t xml:space="preserve"> pozícii Rady v prvom čítaní na účely prijatia smernice Európskeho parlamentu a Rady, ktorou sa mení smernica 2014/49/EÚ, pokiaľ ide o rozsah ochrany vkladov, využívanie finančných prostriedkov systémov ochrany vkladov, cezhraničnú spoluprácu a transparentnosť</w:t>
      </w:r>
      <w:bookmarkEnd w:id="5"/>
      <w:r w:rsidRPr="00116DCF">
        <w:t xml:space="preserve"> </w:t>
      </w:r>
      <w:bookmarkStart w:id="6" w:name="References"/>
      <w:r w:rsidRPr="00116DCF">
        <w:t>(15484/1/25 – C10-0074/2026 – 2023/0115(COD))</w:t>
      </w:r>
      <w:bookmarkEnd w:id="6"/>
    </w:p>
    <w:p w14:paraId="770FFF33" w14:textId="77777777" w:rsidR="008B05DC" w:rsidRPr="00116DCF" w:rsidRDefault="008B05DC" w:rsidP="008B05DC"/>
    <w:p w14:paraId="41E2175A" w14:textId="77777777" w:rsidR="007B5550" w:rsidRPr="00116DCF" w:rsidRDefault="007B5550" w:rsidP="007B5550">
      <w:pPr>
        <w:pStyle w:val="NormalBold"/>
      </w:pPr>
      <w:bookmarkStart w:id="7" w:name="TextBodyBegin"/>
      <w:bookmarkEnd w:id="7"/>
      <w:r w:rsidRPr="00116DCF">
        <w:t>(Riadny legislatívny postup: druhé čítanie)</w:t>
      </w:r>
    </w:p>
    <w:p w14:paraId="19A6BB47" w14:textId="77777777" w:rsidR="007B5550" w:rsidRPr="00116DCF" w:rsidRDefault="007B5550" w:rsidP="007B5550">
      <w:pPr>
        <w:pStyle w:val="EPComma"/>
      </w:pPr>
      <w:r w:rsidRPr="00116DCF">
        <w:rPr>
          <w:i/>
          <w:iCs/>
        </w:rPr>
        <w:t>Európsky parlament</w:t>
      </w:r>
      <w:r w:rsidRPr="00116DCF">
        <w:t>,</w:t>
      </w:r>
    </w:p>
    <w:p w14:paraId="2C6B55A1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pozíciu Rady v prvom čítaní (15484/1/25 – C10-0074/2026),</w:t>
      </w:r>
    </w:p>
    <w:p w14:paraId="2CC0DC3A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stanovisko Európskej centrálnej banky z 5. júla 2023</w:t>
      </w:r>
      <w:r w:rsidRPr="00116DCF">
        <w:rPr>
          <w:vertAlign w:val="superscript"/>
        </w:rPr>
        <w:footnoteReference w:id="1"/>
      </w:r>
      <w:r w:rsidRPr="00116DCF">
        <w:t>,</w:t>
      </w:r>
    </w:p>
    <w:p w14:paraId="7DCD75A2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svoju pozíciu v prvom čítaní</w:t>
      </w:r>
      <w:r w:rsidRPr="00116DCF">
        <w:rPr>
          <w:rStyle w:val="FootnoteReference"/>
        </w:rPr>
        <w:footnoteReference w:id="2"/>
      </w:r>
      <w:r w:rsidRPr="00116DCF">
        <w:t xml:space="preserve"> k návrhu Komisie pre Európsky parlament a Radu (COM(2023)0228),</w:t>
      </w:r>
    </w:p>
    <w:p w14:paraId="4E26BC84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článok 294 ods. 7 Zmluvy o fungovaní Európskej únie,</w:t>
      </w:r>
    </w:p>
    <w:p w14:paraId="3F1AE6C0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predbežnú dohodu schválenú gestorským výborom podľa článku 75 ods. 4 rokovacieho poriadku,</w:t>
      </w:r>
    </w:p>
    <w:p w14:paraId="06132294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článok 68 rokovacieho poriadku,</w:t>
      </w:r>
    </w:p>
    <w:p w14:paraId="27223E8A" w14:textId="77777777" w:rsidR="007B5550" w:rsidRPr="00116DCF" w:rsidRDefault="007B5550" w:rsidP="007B5550">
      <w:pPr>
        <w:pStyle w:val="NormalHanging12a"/>
      </w:pPr>
      <w:r w:rsidRPr="00116DCF">
        <w:t>–</w:t>
      </w:r>
      <w:r w:rsidRPr="00116DCF">
        <w:tab/>
        <w:t>so zreteľom na odporúčanie Výboru pre hospodárske a menové veci do druhého čítania (A10-0065/2026),</w:t>
      </w:r>
    </w:p>
    <w:p w14:paraId="67C60581" w14:textId="77777777" w:rsidR="007B5550" w:rsidRPr="00116DCF" w:rsidRDefault="007B5550" w:rsidP="007B5550">
      <w:pPr>
        <w:pStyle w:val="NormalHanging12a"/>
      </w:pPr>
      <w:r w:rsidRPr="00116DCF">
        <w:t>1.</w:t>
      </w:r>
      <w:r w:rsidRPr="00116DCF">
        <w:tab/>
        <w:t>schvaľuje pozíciu Rady v prvom čítaní;</w:t>
      </w:r>
    </w:p>
    <w:p w14:paraId="32CE09BE" w14:textId="77777777" w:rsidR="007B5550" w:rsidRPr="00116DCF" w:rsidRDefault="007B5550" w:rsidP="007B5550">
      <w:pPr>
        <w:pStyle w:val="NormalHanging12a"/>
      </w:pPr>
      <w:r w:rsidRPr="00116DCF">
        <w:lastRenderedPageBreak/>
        <w:t>2.</w:t>
      </w:r>
      <w:r w:rsidRPr="00116DCF">
        <w:tab/>
        <w:t>konštatuje, že akt bol prijatý v súlade s pozíciou Rady;</w:t>
      </w:r>
    </w:p>
    <w:p w14:paraId="25589CBC" w14:textId="77777777" w:rsidR="007B5550" w:rsidRPr="00116DCF" w:rsidRDefault="007B5550" w:rsidP="007B5550">
      <w:pPr>
        <w:pStyle w:val="NormalHanging12a"/>
      </w:pPr>
      <w:r w:rsidRPr="00116DCF">
        <w:t>3.</w:t>
      </w:r>
      <w:r w:rsidRPr="00116DCF">
        <w:tab/>
        <w:t>poveruje svoju predsedníčku, aby podpísala akt spoločne s predsedom Rady v súlade s článkom 297 ods. 1 Zmluvy o fungovaní Európskej únie;</w:t>
      </w:r>
    </w:p>
    <w:p w14:paraId="5381A28D" w14:textId="77777777" w:rsidR="007B5550" w:rsidRPr="00116DCF" w:rsidRDefault="007B5550" w:rsidP="007B5550">
      <w:pPr>
        <w:pStyle w:val="NormalHanging12a"/>
      </w:pPr>
      <w:r w:rsidRPr="00116DCF">
        <w:t>4.</w:t>
      </w:r>
      <w:r w:rsidRPr="00116DCF">
        <w:tab/>
        <w:t xml:space="preserve">poveruje svojho generálneho tajomníka, aby podpísal akt po tom, čo sa overí, že všetky postupy boli náležite ukončené, a aby po dohode s generálnou tajomníčkou Rady zabezpečil jeho uverejnenie v </w:t>
      </w:r>
      <w:r w:rsidRPr="00116DCF">
        <w:rPr>
          <w:i/>
          <w:iCs/>
        </w:rPr>
        <w:t>Úradnom vestníku Európskej únie</w:t>
      </w:r>
      <w:r w:rsidRPr="00116DCF">
        <w:t>;</w:t>
      </w:r>
    </w:p>
    <w:p w14:paraId="09DBF069" w14:textId="72400759" w:rsidR="00E365E1" w:rsidRPr="00116DCF" w:rsidRDefault="007B5550" w:rsidP="005660EF">
      <w:pPr>
        <w:pStyle w:val="NormalHanging12a"/>
      </w:pPr>
      <w:r w:rsidRPr="00116DCF">
        <w:t>5.</w:t>
      </w:r>
      <w:r w:rsidRPr="00116DCF">
        <w:tab/>
        <w:t>poveruje svoju predsedníčku, aby postúpila túto pozíciu Rade, Komisii a národným parlamentom.</w:t>
      </w:r>
    </w:p>
    <w:sectPr w:rsidR="00E365E1" w:rsidRPr="00116DCF" w:rsidSect="00D557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D7F7B" w14:textId="77777777" w:rsidR="008B05DC" w:rsidRPr="00D55716" w:rsidRDefault="008B05DC">
      <w:r w:rsidRPr="00D55716">
        <w:separator/>
      </w:r>
    </w:p>
  </w:endnote>
  <w:endnote w:type="continuationSeparator" w:id="0">
    <w:p w14:paraId="09CCA0F9" w14:textId="77777777" w:rsidR="008B05DC" w:rsidRPr="00D55716" w:rsidRDefault="008B05DC">
      <w:r w:rsidRPr="00D557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F3D9" w14:textId="77777777" w:rsidR="00064002" w:rsidRPr="00D557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2DF1" w14:textId="77777777" w:rsidR="00064002" w:rsidRPr="00D557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6F9B4" w14:textId="77777777" w:rsidR="00064002" w:rsidRPr="00D557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DD484" w14:textId="77777777" w:rsidR="008B05DC" w:rsidRPr="00D55716" w:rsidRDefault="008B05DC">
      <w:r w:rsidRPr="00D55716">
        <w:separator/>
      </w:r>
    </w:p>
  </w:footnote>
  <w:footnote w:type="continuationSeparator" w:id="0">
    <w:p w14:paraId="05C077EF" w14:textId="77777777" w:rsidR="008B05DC" w:rsidRPr="00D55716" w:rsidRDefault="008B05DC">
      <w:r w:rsidRPr="00D55716">
        <w:continuationSeparator/>
      </w:r>
    </w:p>
  </w:footnote>
  <w:footnote w:id="1">
    <w:p w14:paraId="25143819" w14:textId="50C61794" w:rsidR="007B5550" w:rsidRPr="00D55716" w:rsidRDefault="007B5550" w:rsidP="00D55716">
      <w:pPr>
        <w:pStyle w:val="FootnoteText"/>
        <w:ind w:left="567" w:hanging="567"/>
        <w:rPr>
          <w:b/>
          <w:bCs/>
          <w:sz w:val="24"/>
          <w:lang w:val="sk-SK"/>
        </w:rPr>
      </w:pPr>
      <w:r w:rsidRPr="00D55716">
        <w:rPr>
          <w:rStyle w:val="FootnoteReference"/>
          <w:sz w:val="24"/>
          <w:lang w:val="sk-SK"/>
        </w:rPr>
        <w:footnoteRef/>
      </w:r>
      <w:r w:rsidR="00D55716" w:rsidRPr="00D55716">
        <w:rPr>
          <w:sz w:val="24"/>
          <w:lang w:val="sk-SK"/>
        </w:rPr>
        <w:t xml:space="preserve"> </w:t>
      </w:r>
      <w:r w:rsidR="00D55716" w:rsidRPr="00D55716">
        <w:rPr>
          <w:sz w:val="24"/>
          <w:lang w:val="sk-SK"/>
        </w:rPr>
        <w:tab/>
      </w:r>
      <w:r w:rsidRPr="00D55716">
        <w:rPr>
          <w:sz w:val="24"/>
          <w:lang w:val="sk-SK"/>
        </w:rPr>
        <w:t>Ú. v. EÚ C 307, 31.8.2023, s. 19.</w:t>
      </w:r>
    </w:p>
  </w:footnote>
  <w:footnote w:id="2">
    <w:p w14:paraId="13B8E41D" w14:textId="2CF62D0D" w:rsidR="007B5550" w:rsidRPr="00D55716" w:rsidRDefault="007B5550" w:rsidP="00D55716">
      <w:pPr>
        <w:pStyle w:val="FootnoteText"/>
        <w:ind w:left="567" w:hanging="567"/>
        <w:rPr>
          <w:sz w:val="24"/>
          <w:lang w:val="sk-SK"/>
        </w:rPr>
      </w:pPr>
      <w:r w:rsidRPr="00D55716">
        <w:rPr>
          <w:rStyle w:val="FootnoteReference"/>
          <w:sz w:val="24"/>
          <w:lang w:val="sk-SK"/>
        </w:rPr>
        <w:footnoteRef/>
      </w:r>
      <w:r w:rsidR="00D55716" w:rsidRPr="00D55716">
        <w:rPr>
          <w:sz w:val="24"/>
          <w:lang w:val="sk-SK"/>
        </w:rPr>
        <w:t xml:space="preserve"> </w:t>
      </w:r>
      <w:r w:rsidR="00D55716" w:rsidRPr="00D55716">
        <w:rPr>
          <w:sz w:val="24"/>
          <w:lang w:val="sk-SK"/>
        </w:rPr>
        <w:tab/>
      </w:r>
      <w:r w:rsidR="00C77DDA" w:rsidRPr="00D55716">
        <w:rPr>
          <w:sz w:val="24"/>
          <w:lang w:val="sk-SK"/>
        </w:rPr>
        <w:t>Ú. v. EÚ C</w:t>
      </w:r>
      <w:r w:rsidR="00C77DDA" w:rsidRPr="00C77DDA">
        <w:rPr>
          <w:sz w:val="24"/>
          <w:lang w:val="fi-FI"/>
        </w:rPr>
        <w:t xml:space="preserve">, C/2025/3754, 17.9.2025, ELI: </w:t>
      </w:r>
      <w:r w:rsidR="004B3D42">
        <w:fldChar w:fldCharType="begin"/>
      </w:r>
      <w:r w:rsidR="004B3D42" w:rsidRPr="004B3D42">
        <w:rPr>
          <w:lang w:val="fi-FI"/>
        </w:rPr>
        <w:instrText>HYPERLINK "http://data.europa.eu/eli/C/2025/3754/oj"</w:instrText>
      </w:r>
      <w:r w:rsidR="004B3D42">
        <w:fldChar w:fldCharType="separate"/>
      </w:r>
      <w:r w:rsidR="00C77DDA" w:rsidRPr="00C77DDA">
        <w:rPr>
          <w:rStyle w:val="Hyperlink"/>
          <w:sz w:val="24"/>
          <w:lang w:val="fi-FI"/>
        </w:rPr>
        <w:t>http://data.europa.eu/eli/C/2025/3754/oj</w:t>
      </w:r>
      <w:r w:rsidR="004B3D42">
        <w:rPr>
          <w:rStyle w:val="Hyperlink"/>
          <w:sz w:val="24"/>
          <w:lang w:val="fi-FI"/>
        </w:rPr>
        <w:fldChar w:fldCharType="end"/>
      </w:r>
      <w:r w:rsidR="00C77DDA" w:rsidRPr="00D55716">
        <w:rPr>
          <w:sz w:val="24"/>
          <w:lang w:val="sk-SK"/>
        </w:rPr>
        <w:t xml:space="preserve"> </w:t>
      </w:r>
      <w:r w:rsidRPr="00D55716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97BF" w14:textId="77777777" w:rsidR="00064002" w:rsidRPr="00D557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36C31" w14:textId="77777777" w:rsidR="00064002" w:rsidRPr="00D557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4075" w14:textId="77777777" w:rsidR="00064002" w:rsidRPr="00D557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3563485">
    <w:abstractNumId w:val="9"/>
  </w:num>
  <w:num w:numId="2" w16cid:durableId="1092623885">
    <w:abstractNumId w:val="9"/>
  </w:num>
  <w:num w:numId="3" w16cid:durableId="924336297">
    <w:abstractNumId w:val="7"/>
  </w:num>
  <w:num w:numId="4" w16cid:durableId="511603311">
    <w:abstractNumId w:val="7"/>
  </w:num>
  <w:num w:numId="5" w16cid:durableId="1656060209">
    <w:abstractNumId w:val="6"/>
  </w:num>
  <w:num w:numId="6" w16cid:durableId="375356435">
    <w:abstractNumId w:val="6"/>
  </w:num>
  <w:num w:numId="7" w16cid:durableId="210925511">
    <w:abstractNumId w:val="5"/>
  </w:num>
  <w:num w:numId="8" w16cid:durableId="1236012732">
    <w:abstractNumId w:val="5"/>
  </w:num>
  <w:num w:numId="9" w16cid:durableId="688023189">
    <w:abstractNumId w:val="4"/>
  </w:num>
  <w:num w:numId="10" w16cid:durableId="911624929">
    <w:abstractNumId w:val="4"/>
  </w:num>
  <w:num w:numId="11" w16cid:durableId="135219870">
    <w:abstractNumId w:val="8"/>
  </w:num>
  <w:num w:numId="12" w16cid:durableId="1364750170">
    <w:abstractNumId w:val="8"/>
  </w:num>
  <w:num w:numId="13" w16cid:durableId="399207545">
    <w:abstractNumId w:val="3"/>
  </w:num>
  <w:num w:numId="14" w16cid:durableId="534272817">
    <w:abstractNumId w:val="3"/>
  </w:num>
  <w:num w:numId="15" w16cid:durableId="405879445">
    <w:abstractNumId w:val="2"/>
  </w:num>
  <w:num w:numId="16" w16cid:durableId="601032916">
    <w:abstractNumId w:val="2"/>
  </w:num>
  <w:num w:numId="17" w16cid:durableId="718671512">
    <w:abstractNumId w:val="1"/>
  </w:num>
  <w:num w:numId="18" w16cid:durableId="1895579653">
    <w:abstractNumId w:val="1"/>
  </w:num>
  <w:num w:numId="19" w16cid:durableId="267735454">
    <w:abstractNumId w:val="0"/>
  </w:num>
  <w:num w:numId="20" w16cid:durableId="1604992455">
    <w:abstractNumId w:val="0"/>
  </w:num>
  <w:num w:numId="21" w16cid:durableId="1939679673">
    <w:abstractNumId w:val="9"/>
  </w:num>
  <w:num w:numId="22" w16cid:durableId="713041269">
    <w:abstractNumId w:val="7"/>
  </w:num>
  <w:num w:numId="23" w16cid:durableId="222524756">
    <w:abstractNumId w:val="6"/>
  </w:num>
  <w:num w:numId="24" w16cid:durableId="2106608253">
    <w:abstractNumId w:val="5"/>
  </w:num>
  <w:num w:numId="25" w16cid:durableId="324171451">
    <w:abstractNumId w:val="4"/>
  </w:num>
  <w:num w:numId="26" w16cid:durableId="1994866864">
    <w:abstractNumId w:val="8"/>
  </w:num>
  <w:num w:numId="27" w16cid:durableId="1448116087">
    <w:abstractNumId w:val="3"/>
  </w:num>
  <w:num w:numId="28" w16cid:durableId="274168848">
    <w:abstractNumId w:val="2"/>
  </w:num>
  <w:num w:numId="29" w16cid:durableId="332798479">
    <w:abstractNumId w:val="1"/>
  </w:num>
  <w:num w:numId="30" w16cid:durableId="1358000330">
    <w:abstractNumId w:val="0"/>
  </w:num>
  <w:num w:numId="31" w16cid:durableId="240603466">
    <w:abstractNumId w:val="9"/>
  </w:num>
  <w:num w:numId="32" w16cid:durableId="1921599893">
    <w:abstractNumId w:val="7"/>
  </w:num>
  <w:num w:numId="33" w16cid:durableId="268242566">
    <w:abstractNumId w:val="6"/>
  </w:num>
  <w:num w:numId="34" w16cid:durableId="1168909769">
    <w:abstractNumId w:val="5"/>
  </w:num>
  <w:num w:numId="35" w16cid:durableId="401567443">
    <w:abstractNumId w:val="4"/>
  </w:num>
  <w:num w:numId="36" w16cid:durableId="1121263990">
    <w:abstractNumId w:val="8"/>
  </w:num>
  <w:num w:numId="37" w16cid:durableId="1610509796">
    <w:abstractNumId w:val="3"/>
  </w:num>
  <w:num w:numId="38" w16cid:durableId="257756840">
    <w:abstractNumId w:val="2"/>
  </w:num>
  <w:num w:numId="39" w16cid:durableId="962342637">
    <w:abstractNumId w:val="1"/>
  </w:num>
  <w:num w:numId="40" w16cid:durableId="749549206">
    <w:abstractNumId w:val="0"/>
  </w:num>
  <w:num w:numId="41" w16cid:durableId="159347296">
    <w:abstractNumId w:val="10"/>
  </w:num>
  <w:num w:numId="42" w16cid:durableId="1422676719">
    <w:abstractNumId w:val="10"/>
  </w:num>
  <w:num w:numId="43" w16cid:durableId="1587882758">
    <w:abstractNumId w:val="10"/>
  </w:num>
  <w:num w:numId="44" w16cid:durableId="12993364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SK"/>
    <w:docVar w:name="dvnumam" w:val="0"/>
    <w:docVar w:name="dvpe" w:val="785.243"/>
    <w:docVar w:name="dvrapporteur" w:val="Spravodajkyňa: "/>
    <w:docVar w:name="dvstar" w:val="***II"/>
    <w:docVar w:name="dvtitre" w:val="Legislatívne uznesenie Európskeho parlamentu z/zo xx. xxx 2026 k pozícii Rady v prvom čítaní na účely prijatia smernice Európskeho parlamentu a Rady, ktorou sa mení smernica 2014/49/EÚ, pokiaľ ide o rozsah ochrany vkladov, využívanie finančných prostriedkov systémov ochrany vkladov, cezhraničnú spoluprácu a transparentnosť(15484/1/25 – C10-0074/2026 – 2023/0115(COD))"/>
  </w:docVars>
  <w:rsids>
    <w:rsidRoot w:val="008B05DC"/>
    <w:rsid w:val="00002272"/>
    <w:rsid w:val="00064002"/>
    <w:rsid w:val="000677B9"/>
    <w:rsid w:val="0008070E"/>
    <w:rsid w:val="000831BA"/>
    <w:rsid w:val="000A42CC"/>
    <w:rsid w:val="000E7DD9"/>
    <w:rsid w:val="0010095E"/>
    <w:rsid w:val="00116DC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405"/>
    <w:rsid w:val="00411CCE"/>
    <w:rsid w:val="0041666E"/>
    <w:rsid w:val="00421060"/>
    <w:rsid w:val="00471C19"/>
    <w:rsid w:val="004867E3"/>
    <w:rsid w:val="00494A28"/>
    <w:rsid w:val="004B3D42"/>
    <w:rsid w:val="004C0004"/>
    <w:rsid w:val="004C5D52"/>
    <w:rsid w:val="0050519A"/>
    <w:rsid w:val="005072A1"/>
    <w:rsid w:val="00514517"/>
    <w:rsid w:val="00545827"/>
    <w:rsid w:val="00560270"/>
    <w:rsid w:val="005660E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550"/>
    <w:rsid w:val="007D1690"/>
    <w:rsid w:val="007E22AD"/>
    <w:rsid w:val="00817416"/>
    <w:rsid w:val="00842779"/>
    <w:rsid w:val="00865F67"/>
    <w:rsid w:val="00881A7B"/>
    <w:rsid w:val="008840E5"/>
    <w:rsid w:val="00887B3E"/>
    <w:rsid w:val="008B05DC"/>
    <w:rsid w:val="008C2AC6"/>
    <w:rsid w:val="00930C23"/>
    <w:rsid w:val="0093193B"/>
    <w:rsid w:val="009509D8"/>
    <w:rsid w:val="00950B64"/>
    <w:rsid w:val="00981893"/>
    <w:rsid w:val="00A1687D"/>
    <w:rsid w:val="00A2417A"/>
    <w:rsid w:val="00A43E52"/>
    <w:rsid w:val="00A4678D"/>
    <w:rsid w:val="00A778C7"/>
    <w:rsid w:val="00A829C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DDA"/>
    <w:rsid w:val="00C941CB"/>
    <w:rsid w:val="00CC2357"/>
    <w:rsid w:val="00CF071A"/>
    <w:rsid w:val="00D058B8"/>
    <w:rsid w:val="00D5571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7E64E6"/>
  <w15:chartTrackingRefBased/>
  <w15:docId w15:val="{08B24106-DBD2-462B-9122-102FF4A6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5550"/>
    <w:pPr>
      <w:spacing w:before="480" w:after="240"/>
    </w:pPr>
  </w:style>
  <w:style w:type="paragraph" w:customStyle="1" w:styleId="NormalBold">
    <w:name w:val="NormalBold"/>
    <w:basedOn w:val="Normal"/>
    <w:rsid w:val="007B5550"/>
    <w:rPr>
      <w:b/>
    </w:rPr>
  </w:style>
  <w:style w:type="paragraph" w:customStyle="1" w:styleId="NormalHanging12a">
    <w:name w:val="NormalHanging12a"/>
    <w:basedOn w:val="Normal"/>
    <w:rsid w:val="007B555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660EF"/>
    <w:rPr>
      <w:sz w:val="24"/>
      <w:lang w:val="sk-SK"/>
    </w:rPr>
  </w:style>
  <w:style w:type="character" w:styleId="Hyperlink">
    <w:name w:val="Hyperlink"/>
    <w:basedOn w:val="DefaultParagraphFont"/>
    <w:rsid w:val="00C77D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2026-03-26T10:27:00Z</dcterms:created>
  <dcterms:modified xsi:type="dcterms:W3CDTF">2026-03-26T10:27:00Z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