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6CDC" w14:paraId="37CEAD6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FD95A1" w14:textId="673A53C1" w:rsidR="00751A4A" w:rsidRPr="002C6CDC" w:rsidRDefault="004572D1" w:rsidP="0010095E">
            <w:pPr>
              <w:pStyle w:val="EPName"/>
            </w:pPr>
            <w:r w:rsidRPr="002C6CDC">
              <w:t>Европейски</w:t>
            </w:r>
            <w:r w:rsidR="00201622" w:rsidRPr="002C6CDC">
              <w:t xml:space="preserve"> парламент</w:t>
            </w:r>
          </w:p>
          <w:p w14:paraId="36621BA1" w14:textId="75761637" w:rsidR="00751A4A" w:rsidRPr="002C6C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6CDC">
              <w:t>2024</w:t>
            </w:r>
            <w:r w:rsidR="004572D1">
              <w:t> – </w:t>
            </w:r>
            <w:r w:rsidR="00817416" w:rsidRPr="002C6CDC">
              <w:t>202</w:t>
            </w:r>
            <w:r w:rsidRPr="002C6CDC">
              <w:t>9</w:t>
            </w:r>
          </w:p>
        </w:tc>
        <w:tc>
          <w:tcPr>
            <w:tcW w:w="2268" w:type="dxa"/>
            <w:shd w:val="clear" w:color="auto" w:fill="auto"/>
          </w:tcPr>
          <w:p w14:paraId="6CCAB6AB" w14:textId="77777777" w:rsidR="00751A4A" w:rsidRPr="002C6CDC" w:rsidRDefault="00187494" w:rsidP="0010095E">
            <w:pPr>
              <w:pStyle w:val="EPLogo"/>
            </w:pPr>
            <w:r w:rsidRPr="002C6CDC">
              <w:rPr>
                <w:noProof/>
                <w:lang w:eastAsia="ja-JP"/>
              </w:rPr>
              <w:drawing>
                <wp:inline distT="0" distB="0" distL="0" distR="0" wp14:anchorId="78D414C0" wp14:editId="7B2D12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DEA521" w14:textId="77777777" w:rsidR="00D058B8" w:rsidRPr="002C6CDC" w:rsidRDefault="00D058B8" w:rsidP="004C5D52">
      <w:pPr>
        <w:pStyle w:val="LineTop"/>
      </w:pPr>
    </w:p>
    <w:p w14:paraId="0E71A7A0" w14:textId="77777777" w:rsidR="00680577" w:rsidRPr="002C6CDC" w:rsidRDefault="00201622" w:rsidP="00680577">
      <w:pPr>
        <w:pStyle w:val="EPBodyTA1"/>
      </w:pPr>
      <w:r w:rsidRPr="002C6CDC">
        <w:t>ПРИЕТИ ТЕКСТОВЕ</w:t>
      </w:r>
    </w:p>
    <w:p w14:paraId="3938674A" w14:textId="77777777" w:rsidR="00D058B8" w:rsidRPr="002C6CDC" w:rsidRDefault="00D058B8" w:rsidP="00D058B8">
      <w:pPr>
        <w:pStyle w:val="LineBottom"/>
      </w:pPr>
    </w:p>
    <w:p w14:paraId="43DF4445" w14:textId="7F8920C0" w:rsidR="00201622" w:rsidRPr="002C6CDC" w:rsidRDefault="00201622" w:rsidP="00201622">
      <w:pPr>
        <w:pStyle w:val="ATHeading1"/>
      </w:pPr>
      <w:bookmarkStart w:id="0" w:name="TANumber"/>
      <w:r w:rsidRPr="002C6CDC">
        <w:t>P10_TA(2026)00</w:t>
      </w:r>
      <w:r w:rsidR="0007535C">
        <w:rPr>
          <w:lang w:val="en-GB"/>
        </w:rPr>
        <w:t>91</w:t>
      </w:r>
      <w:bookmarkEnd w:id="0"/>
    </w:p>
    <w:p w14:paraId="3EDAAE5A" w14:textId="1E55AFD5" w:rsidR="00201622" w:rsidRPr="002C6CDC" w:rsidRDefault="0007535C" w:rsidP="00201622">
      <w:pPr>
        <w:pStyle w:val="ATHeading2"/>
      </w:pPr>
      <w:bookmarkStart w:id="1" w:name="title"/>
      <w:r w:rsidRPr="0007535C">
        <w:t>Мерки за ранна намеса, условия за преструктуриране и финансиране на действията по преструктуриране (BRRD3)</w:t>
      </w:r>
      <w:bookmarkEnd w:id="1"/>
    </w:p>
    <w:p w14:paraId="665F7EBF" w14:textId="77777777" w:rsidR="00201622" w:rsidRPr="002C6CDC" w:rsidRDefault="00201622" w:rsidP="00201622">
      <w:pPr>
        <w:rPr>
          <w:i/>
          <w:vanish/>
        </w:rPr>
      </w:pPr>
      <w:r w:rsidRPr="002C6CDC">
        <w:rPr>
          <w:i/>
        </w:rPr>
        <w:fldChar w:fldCharType="begin"/>
      </w:r>
      <w:r w:rsidRPr="002C6CDC">
        <w:rPr>
          <w:i/>
        </w:rPr>
        <w:instrText xml:space="preserve"> TC"(</w:instrText>
      </w:r>
      <w:bookmarkStart w:id="2" w:name="DocNumber"/>
      <w:r w:rsidRPr="002C6CDC">
        <w:rPr>
          <w:i/>
        </w:rPr>
        <w:instrText>A10-0066/2026</w:instrText>
      </w:r>
      <w:bookmarkEnd w:id="2"/>
      <w:r w:rsidRPr="002C6CDC">
        <w:rPr>
          <w:i/>
        </w:rPr>
        <w:instrText xml:space="preserve"> - Докладчик: Лудек Нидермайер)"\l3 \n&gt; \* MERGEFORMAT </w:instrText>
      </w:r>
      <w:r w:rsidRPr="002C6CDC">
        <w:rPr>
          <w:i/>
        </w:rPr>
        <w:fldChar w:fldCharType="end"/>
      </w:r>
    </w:p>
    <w:p w14:paraId="788E4D3C" w14:textId="77777777" w:rsidR="00201622" w:rsidRPr="002C6CDC" w:rsidRDefault="00201622" w:rsidP="00201622">
      <w:pPr>
        <w:rPr>
          <w:vanish/>
        </w:rPr>
      </w:pPr>
      <w:bookmarkStart w:id="3" w:name="Commission"/>
      <w:r w:rsidRPr="002C6CDC">
        <w:rPr>
          <w:vanish/>
        </w:rPr>
        <w:t>Комисия по икономически и парични въпроси</w:t>
      </w:r>
      <w:bookmarkEnd w:id="3"/>
    </w:p>
    <w:p w14:paraId="0635ED90" w14:textId="77777777" w:rsidR="00201622" w:rsidRPr="002C6CDC" w:rsidRDefault="00201622" w:rsidP="00201622">
      <w:pPr>
        <w:rPr>
          <w:vanish/>
        </w:rPr>
      </w:pPr>
      <w:bookmarkStart w:id="4" w:name="PE"/>
      <w:r w:rsidRPr="002C6CDC">
        <w:rPr>
          <w:vanish/>
        </w:rPr>
        <w:t>PE785.218</w:t>
      </w:r>
      <w:bookmarkEnd w:id="4"/>
    </w:p>
    <w:p w14:paraId="5DE75D0A" w14:textId="379177CF" w:rsidR="00201622" w:rsidRPr="002C6CDC" w:rsidRDefault="00201622" w:rsidP="00201622">
      <w:pPr>
        <w:pStyle w:val="ATHeading3"/>
      </w:pPr>
      <w:bookmarkStart w:id="5" w:name="Sujet"/>
      <w:r w:rsidRPr="002C6CDC">
        <w:t xml:space="preserve">Законодателна резолюция на Европейския парламент от </w:t>
      </w:r>
      <w:r w:rsidR="004572D1">
        <w:t>26 март</w:t>
      </w:r>
      <w:r w:rsidRPr="002C6CDC">
        <w:t xml:space="preserve"> 2026 г. относно позицията на Съвета на първо четене с оглед на приемането на директива на Европейския парламент и на Съвета за изменение на Директива 2014/59/ЕС по отношение на мерките за ранна намеса, условията за преструктуриране и финансирането на действията по преструктуриране и на Директива 2014/24/ЕС по отношение на услугите по оценяване при преструктуриране</w:t>
      </w:r>
      <w:bookmarkEnd w:id="5"/>
      <w:r w:rsidRPr="002C6CDC">
        <w:t xml:space="preserve"> </w:t>
      </w:r>
      <w:bookmarkStart w:id="6" w:name="References"/>
      <w:r w:rsidRPr="002C6CDC">
        <w:t>(15445/1/25 – C10-0073/2026 – 2023/0112(COD))</w:t>
      </w:r>
      <w:bookmarkEnd w:id="6"/>
    </w:p>
    <w:p w14:paraId="0FE93D86" w14:textId="77777777" w:rsidR="00201622" w:rsidRPr="002C6CDC" w:rsidRDefault="00201622" w:rsidP="00201622"/>
    <w:p w14:paraId="686F9B6C" w14:textId="3C21F64B" w:rsidR="00B2338E" w:rsidRPr="002C6CDC" w:rsidRDefault="004572D1" w:rsidP="00B2338E">
      <w:pPr>
        <w:pStyle w:val="NormalBold"/>
      </w:pPr>
      <w:bookmarkStart w:id="7" w:name="TextBodyBegin"/>
      <w:bookmarkEnd w:id="7"/>
      <w:r>
        <w:t>(</w:t>
      </w:r>
      <w:r w:rsidR="00B2338E" w:rsidRPr="002C6CDC">
        <w:t>Обикновена законодателна процедура</w:t>
      </w:r>
      <w:r w:rsidR="006122AE">
        <w:t>:</w:t>
      </w:r>
      <w:r w:rsidR="00B2338E" w:rsidRPr="002C6CDC">
        <w:t xml:space="preserve"> второ четене)</w:t>
      </w:r>
    </w:p>
    <w:p w14:paraId="1CAA7885" w14:textId="77777777" w:rsidR="00B2338E" w:rsidRPr="002C6CDC" w:rsidRDefault="00B2338E" w:rsidP="00B2338E">
      <w:pPr>
        <w:pStyle w:val="EPComma"/>
      </w:pPr>
      <w:r w:rsidRPr="002C6CDC">
        <w:rPr>
          <w:i/>
          <w:iCs/>
        </w:rPr>
        <w:t>Европейският парламент,</w:t>
      </w:r>
    </w:p>
    <w:p w14:paraId="52DE4A93" w14:textId="77777777" w:rsidR="00B2338E" w:rsidRPr="002C6CDC" w:rsidRDefault="00B2338E" w:rsidP="00B2338E">
      <w:pPr>
        <w:pStyle w:val="NormalHanging12a"/>
      </w:pPr>
      <w:r w:rsidRPr="002C6CDC">
        <w:t>–</w:t>
      </w:r>
      <w:r w:rsidRPr="002C6CDC">
        <w:tab/>
        <w:t>като взе предвид позицията на Съвета на първо четене (15445/1/25 – C10-0073/2026),</w:t>
      </w:r>
    </w:p>
    <w:p w14:paraId="34DFD573" w14:textId="77777777" w:rsidR="00B2338E" w:rsidRPr="002C6CDC" w:rsidRDefault="00B2338E" w:rsidP="00B2338E">
      <w:pPr>
        <w:pStyle w:val="NormalHanging12a"/>
      </w:pPr>
      <w:r w:rsidRPr="002C6CDC">
        <w:t>–</w:t>
      </w:r>
      <w:r w:rsidRPr="002C6CDC">
        <w:tab/>
        <w:t>като взе предвид становището на Европейската централна банка от 5 юли 2023 г.</w:t>
      </w:r>
      <w:r w:rsidRPr="002C6CDC">
        <w:rPr>
          <w:vertAlign w:val="superscript"/>
        </w:rPr>
        <w:footnoteReference w:id="1"/>
      </w:r>
      <w:r w:rsidRPr="002C6CDC">
        <w:t>,</w:t>
      </w:r>
    </w:p>
    <w:p w14:paraId="0A0C73C6" w14:textId="77777777" w:rsidR="00B2338E" w:rsidRPr="002C6CDC" w:rsidRDefault="00B2338E" w:rsidP="00B2338E">
      <w:pPr>
        <w:pStyle w:val="NormalHanging12a"/>
      </w:pPr>
      <w:r w:rsidRPr="002C6CDC">
        <w:t>–</w:t>
      </w:r>
      <w:r w:rsidRPr="002C6CDC">
        <w:tab/>
        <w:t>като взе предвид становището на Европейския икономически и социален комитет от 13 юли 2023 г.</w:t>
      </w:r>
      <w:r w:rsidRPr="002C6CDC">
        <w:rPr>
          <w:bCs/>
          <w:vertAlign w:val="superscript"/>
        </w:rPr>
        <w:footnoteReference w:id="2"/>
      </w:r>
      <w:r w:rsidRPr="002C6CDC">
        <w:t>,</w:t>
      </w:r>
    </w:p>
    <w:p w14:paraId="1AC221FD" w14:textId="3585877F" w:rsidR="00B2338E" w:rsidRPr="002C6CDC" w:rsidRDefault="00B2338E" w:rsidP="00B2338E">
      <w:pPr>
        <w:pStyle w:val="NormalHanging12a"/>
      </w:pPr>
      <w:r w:rsidRPr="002C6CDC">
        <w:t>–</w:t>
      </w:r>
      <w:r w:rsidRPr="002C6CDC">
        <w:tab/>
        <w:t>като взе предвид позицията си на първо четене</w:t>
      </w:r>
      <w:r w:rsidRPr="002C6CDC">
        <w:rPr>
          <w:rStyle w:val="FootnoteReference"/>
        </w:rPr>
        <w:footnoteReference w:id="3"/>
      </w:r>
      <w:r w:rsidRPr="002C6CDC">
        <w:t xml:space="preserve"> относно предложението на Комисията до </w:t>
      </w:r>
      <w:r w:rsidR="004572D1">
        <w:t>П</w:t>
      </w:r>
      <w:r w:rsidRPr="002C6CDC">
        <w:t>арламент</w:t>
      </w:r>
      <w:r w:rsidR="004572D1">
        <w:t>а</w:t>
      </w:r>
      <w:r w:rsidRPr="002C6CDC">
        <w:t xml:space="preserve"> и до Съвета (COM(2023)0227),</w:t>
      </w:r>
    </w:p>
    <w:p w14:paraId="249E9D16" w14:textId="5EABF5BE" w:rsidR="00B2338E" w:rsidRPr="002C6CDC" w:rsidRDefault="00B2338E" w:rsidP="00B2338E">
      <w:pPr>
        <w:pStyle w:val="NormalHanging12a"/>
      </w:pPr>
      <w:r w:rsidRPr="002C6CDC">
        <w:t>–</w:t>
      </w:r>
      <w:r w:rsidRPr="002C6CDC">
        <w:tab/>
        <w:t xml:space="preserve">като взе предвид член 294, параграф 7 от Договора за функционирането на </w:t>
      </w:r>
      <w:r w:rsidR="004572D1">
        <w:t>Европейския съюз</w:t>
      </w:r>
      <w:r w:rsidRPr="002C6CDC">
        <w:t>,</w:t>
      </w:r>
    </w:p>
    <w:p w14:paraId="73FD14FA" w14:textId="77777777" w:rsidR="00B2338E" w:rsidRPr="002C6CDC" w:rsidRDefault="00B2338E" w:rsidP="00B2338E">
      <w:pPr>
        <w:pStyle w:val="NormalHanging12a"/>
      </w:pPr>
      <w:r w:rsidRPr="002C6CDC">
        <w:t>–</w:t>
      </w:r>
      <w:r w:rsidRPr="002C6CDC">
        <w:tab/>
        <w:t>като взе предвид временното споразумение, одобрено от компетентната комисия в съответствие с член 75, параграф 4 от Правилника за дейността,</w:t>
      </w:r>
    </w:p>
    <w:p w14:paraId="4F1ABFAB" w14:textId="77777777" w:rsidR="00B2338E" w:rsidRPr="002C6CDC" w:rsidRDefault="00B2338E" w:rsidP="00B2338E">
      <w:pPr>
        <w:pStyle w:val="NormalHanging12a"/>
      </w:pPr>
      <w:r w:rsidRPr="002C6CDC">
        <w:lastRenderedPageBreak/>
        <w:t>–</w:t>
      </w:r>
      <w:r w:rsidRPr="002C6CDC">
        <w:tab/>
        <w:t>като взе предвид член 68 от своя Правилник за дейността,</w:t>
      </w:r>
    </w:p>
    <w:p w14:paraId="5037DEE8" w14:textId="77777777" w:rsidR="00B2338E" w:rsidRPr="002C6CDC" w:rsidRDefault="00B2338E" w:rsidP="00B2338E">
      <w:pPr>
        <w:pStyle w:val="NormalHanging12a"/>
      </w:pPr>
      <w:r w:rsidRPr="002C6CDC">
        <w:t>–</w:t>
      </w:r>
      <w:r w:rsidRPr="002C6CDC">
        <w:tab/>
        <w:t>като взе предвид препоръката за второ четене на комисията по икономически и парични въпроси (A10-0066/2026),</w:t>
      </w:r>
    </w:p>
    <w:p w14:paraId="0A6F57AE" w14:textId="77777777" w:rsidR="00B2338E" w:rsidRPr="002C6CDC" w:rsidRDefault="00B2338E" w:rsidP="00B2338E">
      <w:pPr>
        <w:pStyle w:val="NormalHanging12a"/>
      </w:pPr>
      <w:r w:rsidRPr="002C6CDC">
        <w:t>1.</w:t>
      </w:r>
      <w:r w:rsidRPr="002C6CDC">
        <w:tab/>
        <w:t>одобрява позицията на Съвета на първо четене;</w:t>
      </w:r>
    </w:p>
    <w:p w14:paraId="6C83692D" w14:textId="77777777" w:rsidR="00B2338E" w:rsidRPr="002C6CDC" w:rsidRDefault="00B2338E" w:rsidP="00B2338E">
      <w:pPr>
        <w:pStyle w:val="NormalHanging12a"/>
      </w:pPr>
      <w:r w:rsidRPr="002C6CDC">
        <w:t>2.</w:t>
      </w:r>
      <w:r w:rsidRPr="002C6CDC">
        <w:tab/>
        <w:t>констатира, че актът е приет в съответствие с позицията на Съвета;</w:t>
      </w:r>
    </w:p>
    <w:p w14:paraId="0866E1AE" w14:textId="77777777" w:rsidR="00B2338E" w:rsidRPr="002C6CDC" w:rsidRDefault="00B2338E" w:rsidP="00B2338E">
      <w:pPr>
        <w:pStyle w:val="NormalHanging12a"/>
      </w:pPr>
      <w:r w:rsidRPr="002C6CDC">
        <w:t>3.</w:t>
      </w:r>
      <w:r w:rsidRPr="002C6CDC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p w14:paraId="6DEC8D46" w14:textId="31861EBB" w:rsidR="00B2338E" w:rsidRPr="002C6CDC" w:rsidRDefault="00B2338E" w:rsidP="00B2338E">
      <w:pPr>
        <w:pStyle w:val="NormalHanging12a"/>
      </w:pPr>
      <w:r w:rsidRPr="002C6CDC">
        <w:t>4.</w:t>
      </w:r>
      <w:r w:rsidRPr="002C6CDC">
        <w:tab/>
        <w:t xml:space="preserve">възлага на своя генерален секретар да подпише акта след проверка </w:t>
      </w:r>
      <w:r w:rsidR="00707289">
        <w:t>н</w:t>
      </w:r>
      <w:r w:rsidRPr="002C6CDC">
        <w:t>а надлежното изпълнение на всички процедури и</w:t>
      </w:r>
      <w:r w:rsidR="008D65AE">
        <w:t xml:space="preserve"> да пристъпи</w:t>
      </w:r>
      <w:r w:rsidRPr="002C6CDC">
        <w:t xml:space="preserve"> </w:t>
      </w:r>
      <w:r w:rsidR="008D65AE">
        <w:t>заедно</w:t>
      </w:r>
      <w:r w:rsidR="008D65AE" w:rsidRPr="002C6CDC">
        <w:t xml:space="preserve"> </w:t>
      </w:r>
      <w:r w:rsidRPr="002C6CDC">
        <w:t xml:space="preserve">с генералния секретар на Съвета към публикуването му в </w:t>
      </w:r>
      <w:r w:rsidRPr="002C6CDC">
        <w:rPr>
          <w:i/>
          <w:iCs/>
        </w:rPr>
        <w:t>Официален вестник на Европейския съюз</w:t>
      </w:r>
      <w:r w:rsidRPr="002C6CDC">
        <w:t>;</w:t>
      </w:r>
    </w:p>
    <w:p w14:paraId="26F4B80F" w14:textId="79932768" w:rsidR="002C6CDC" w:rsidRPr="002C6CDC" w:rsidRDefault="00B2338E" w:rsidP="002C6CDC">
      <w:pPr>
        <w:pStyle w:val="NormalHanging12a"/>
      </w:pPr>
      <w:r w:rsidRPr="002C6CDC">
        <w:t>5.</w:t>
      </w:r>
      <w:r w:rsidRPr="002C6CDC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08E64569" w14:textId="5869356F" w:rsidR="00E365E1" w:rsidRPr="002C6CDC" w:rsidRDefault="00E365E1" w:rsidP="00201622"/>
    <w:sectPr w:rsidR="00E365E1" w:rsidRPr="002C6CDC" w:rsidSect="002C6C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AED93" w14:textId="77777777" w:rsidR="00201622" w:rsidRPr="002C6CDC" w:rsidRDefault="00201622">
      <w:r w:rsidRPr="002C6CDC">
        <w:separator/>
      </w:r>
    </w:p>
  </w:endnote>
  <w:endnote w:type="continuationSeparator" w:id="0">
    <w:p w14:paraId="688E4019" w14:textId="77777777" w:rsidR="00201622" w:rsidRPr="002C6CDC" w:rsidRDefault="00201622">
      <w:r w:rsidRPr="002C6C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2771B" w14:textId="77777777" w:rsidR="00064002" w:rsidRPr="002C6C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564C4" w14:textId="77777777" w:rsidR="00064002" w:rsidRPr="002C6C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21DD6" w14:textId="77777777" w:rsidR="00064002" w:rsidRPr="002C6C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E307F" w14:textId="77777777" w:rsidR="00201622" w:rsidRPr="002C6CDC" w:rsidRDefault="00201622">
      <w:r w:rsidRPr="002C6CDC">
        <w:separator/>
      </w:r>
    </w:p>
  </w:footnote>
  <w:footnote w:type="continuationSeparator" w:id="0">
    <w:p w14:paraId="67509A89" w14:textId="77777777" w:rsidR="00201622" w:rsidRPr="002C6CDC" w:rsidRDefault="00201622">
      <w:r w:rsidRPr="002C6CDC">
        <w:continuationSeparator/>
      </w:r>
    </w:p>
  </w:footnote>
  <w:footnote w:id="1">
    <w:p w14:paraId="32EB27BC" w14:textId="003A7AB1" w:rsidR="00B2338E" w:rsidRPr="002C6CDC" w:rsidRDefault="00B2338E" w:rsidP="002C6CDC">
      <w:pPr>
        <w:pStyle w:val="FootnoteText"/>
        <w:ind w:left="567" w:hanging="567"/>
        <w:rPr>
          <w:b/>
          <w:bCs/>
          <w:sz w:val="24"/>
          <w:lang w:val="bg-BG"/>
        </w:rPr>
      </w:pPr>
      <w:r w:rsidRPr="002C6CDC">
        <w:rPr>
          <w:rStyle w:val="FootnoteReference"/>
          <w:sz w:val="24"/>
          <w:lang w:val="bg-BG"/>
        </w:rPr>
        <w:footnoteRef/>
      </w:r>
      <w:r w:rsidR="002C6CDC" w:rsidRPr="002C6CDC">
        <w:rPr>
          <w:sz w:val="24"/>
          <w:lang w:val="bg-BG"/>
        </w:rPr>
        <w:t xml:space="preserve"> </w:t>
      </w:r>
      <w:r w:rsidR="002C6CDC" w:rsidRPr="002C6CDC">
        <w:rPr>
          <w:sz w:val="24"/>
          <w:lang w:val="bg-BG"/>
        </w:rPr>
        <w:tab/>
      </w:r>
      <w:r w:rsidRPr="002C6CDC">
        <w:rPr>
          <w:sz w:val="24"/>
          <w:lang w:val="bg-BG"/>
        </w:rPr>
        <w:t>ОВ C 307, 31.8.2023 г., стр. 19.</w:t>
      </w:r>
    </w:p>
  </w:footnote>
  <w:footnote w:id="2">
    <w:p w14:paraId="02602467" w14:textId="2C0435A6" w:rsidR="00B2338E" w:rsidRPr="002C6CDC" w:rsidRDefault="00B2338E" w:rsidP="002C6CDC">
      <w:pPr>
        <w:pStyle w:val="FootnoteText"/>
        <w:ind w:left="567" w:hanging="567"/>
        <w:rPr>
          <w:sz w:val="24"/>
          <w:lang w:val="bg-BG"/>
        </w:rPr>
      </w:pPr>
      <w:r w:rsidRPr="002C6CDC">
        <w:rPr>
          <w:rStyle w:val="FootnoteReference"/>
          <w:sz w:val="24"/>
          <w:lang w:val="bg-BG"/>
        </w:rPr>
        <w:footnoteRef/>
      </w:r>
      <w:bookmarkStart w:id="8" w:name="_Hlk212814778"/>
      <w:r w:rsidR="002C6CDC" w:rsidRPr="002C6CDC">
        <w:rPr>
          <w:sz w:val="24"/>
          <w:lang w:val="bg-BG"/>
        </w:rPr>
        <w:t xml:space="preserve"> </w:t>
      </w:r>
      <w:r w:rsidR="002C6CDC" w:rsidRPr="002C6CDC">
        <w:rPr>
          <w:sz w:val="24"/>
          <w:lang w:val="bg-BG"/>
        </w:rPr>
        <w:tab/>
      </w:r>
      <w:r w:rsidRPr="002C6CDC">
        <w:rPr>
          <w:sz w:val="24"/>
          <w:lang w:val="bg-BG"/>
        </w:rPr>
        <w:t>ОВ C 349, 29.9.2023 г., стр. 161.</w:t>
      </w:r>
      <w:bookmarkEnd w:id="8"/>
    </w:p>
  </w:footnote>
  <w:footnote w:id="3">
    <w:p w14:paraId="3D61335F" w14:textId="594A1E29" w:rsidR="00B2338E" w:rsidRPr="002C6CDC" w:rsidRDefault="00B2338E" w:rsidP="002C6CDC">
      <w:pPr>
        <w:pStyle w:val="FootnoteText"/>
        <w:ind w:left="567" w:hanging="567"/>
        <w:rPr>
          <w:sz w:val="24"/>
          <w:lang w:val="bg-BG"/>
        </w:rPr>
      </w:pPr>
      <w:r w:rsidRPr="002C6CDC">
        <w:rPr>
          <w:rStyle w:val="FootnoteReference"/>
          <w:sz w:val="24"/>
          <w:lang w:val="bg-BG"/>
        </w:rPr>
        <w:footnoteRef/>
      </w:r>
      <w:r w:rsidR="002C6CDC" w:rsidRPr="002C6CDC">
        <w:rPr>
          <w:sz w:val="24"/>
          <w:lang w:val="bg-BG"/>
        </w:rPr>
        <w:t xml:space="preserve"> </w:t>
      </w:r>
      <w:r w:rsidR="002C6CDC" w:rsidRPr="002C6CDC">
        <w:rPr>
          <w:sz w:val="24"/>
          <w:lang w:val="bg-BG"/>
        </w:rPr>
        <w:tab/>
      </w:r>
      <w:r w:rsidR="008D65AE" w:rsidRPr="008D65AE">
        <w:rPr>
          <w:sz w:val="24"/>
          <w:lang w:val="bg-BG"/>
        </w:rPr>
        <w:t>O</w:t>
      </w:r>
      <w:r w:rsidR="008D65AE">
        <w:rPr>
          <w:sz w:val="24"/>
          <w:lang w:val="bg-BG"/>
        </w:rPr>
        <w:t>В</w:t>
      </w:r>
      <w:r w:rsidR="008D65AE" w:rsidRPr="008D65AE">
        <w:rPr>
          <w:sz w:val="24"/>
          <w:lang w:val="bg-BG"/>
        </w:rPr>
        <w:t xml:space="preserve"> C, C/2025/3753, 17.9.2025</w:t>
      </w:r>
      <w:r w:rsidR="008D65AE">
        <w:rPr>
          <w:sz w:val="24"/>
          <w:lang w:val="bg-BG"/>
        </w:rPr>
        <w:t> г.</w:t>
      </w:r>
      <w:r w:rsidR="008D65AE" w:rsidRPr="008D65AE">
        <w:rPr>
          <w:sz w:val="24"/>
          <w:lang w:val="bg-BG"/>
        </w:rPr>
        <w:t xml:space="preserve">, ELI: </w:t>
      </w:r>
      <w:hyperlink r:id="rId1" w:history="1">
        <w:r w:rsidR="008D65AE" w:rsidRPr="0007535C">
          <w:rPr>
            <w:rStyle w:val="Hyperlink"/>
            <w:sz w:val="24"/>
            <w:lang w:val="bg-BG"/>
          </w:rPr>
          <w:t>http://data.europa.eu/eli/C/2025/3753/oj</w:t>
        </w:r>
      </w:hyperlink>
      <w:r w:rsidRPr="002C6CDC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2B4EA" w14:textId="77777777" w:rsidR="00064002" w:rsidRPr="002C6C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FA534" w14:textId="77777777" w:rsidR="00064002" w:rsidRPr="002C6C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897E6" w14:textId="77777777" w:rsidR="00064002" w:rsidRPr="002C6C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0807791">
    <w:abstractNumId w:val="9"/>
  </w:num>
  <w:num w:numId="2" w16cid:durableId="214125847">
    <w:abstractNumId w:val="9"/>
  </w:num>
  <w:num w:numId="3" w16cid:durableId="406994770">
    <w:abstractNumId w:val="7"/>
  </w:num>
  <w:num w:numId="4" w16cid:durableId="912618670">
    <w:abstractNumId w:val="7"/>
  </w:num>
  <w:num w:numId="5" w16cid:durableId="1431001806">
    <w:abstractNumId w:val="6"/>
  </w:num>
  <w:num w:numId="6" w16cid:durableId="1570114826">
    <w:abstractNumId w:val="6"/>
  </w:num>
  <w:num w:numId="7" w16cid:durableId="518935677">
    <w:abstractNumId w:val="5"/>
  </w:num>
  <w:num w:numId="8" w16cid:durableId="1648826125">
    <w:abstractNumId w:val="5"/>
  </w:num>
  <w:num w:numId="9" w16cid:durableId="1993295402">
    <w:abstractNumId w:val="4"/>
  </w:num>
  <w:num w:numId="10" w16cid:durableId="637343752">
    <w:abstractNumId w:val="4"/>
  </w:num>
  <w:num w:numId="11" w16cid:durableId="1567110094">
    <w:abstractNumId w:val="8"/>
  </w:num>
  <w:num w:numId="12" w16cid:durableId="2096584698">
    <w:abstractNumId w:val="8"/>
  </w:num>
  <w:num w:numId="13" w16cid:durableId="677998621">
    <w:abstractNumId w:val="3"/>
  </w:num>
  <w:num w:numId="14" w16cid:durableId="798112982">
    <w:abstractNumId w:val="3"/>
  </w:num>
  <w:num w:numId="15" w16cid:durableId="761873195">
    <w:abstractNumId w:val="2"/>
  </w:num>
  <w:num w:numId="16" w16cid:durableId="1412773488">
    <w:abstractNumId w:val="2"/>
  </w:num>
  <w:num w:numId="17" w16cid:durableId="1882353990">
    <w:abstractNumId w:val="1"/>
  </w:num>
  <w:num w:numId="18" w16cid:durableId="1598516208">
    <w:abstractNumId w:val="1"/>
  </w:num>
  <w:num w:numId="19" w16cid:durableId="914901556">
    <w:abstractNumId w:val="0"/>
  </w:num>
  <w:num w:numId="20" w16cid:durableId="1251087026">
    <w:abstractNumId w:val="0"/>
  </w:num>
  <w:num w:numId="21" w16cid:durableId="1129131359">
    <w:abstractNumId w:val="9"/>
  </w:num>
  <w:num w:numId="22" w16cid:durableId="432286132">
    <w:abstractNumId w:val="7"/>
  </w:num>
  <w:num w:numId="23" w16cid:durableId="1523477160">
    <w:abstractNumId w:val="6"/>
  </w:num>
  <w:num w:numId="24" w16cid:durableId="2074429808">
    <w:abstractNumId w:val="5"/>
  </w:num>
  <w:num w:numId="25" w16cid:durableId="1853031177">
    <w:abstractNumId w:val="4"/>
  </w:num>
  <w:num w:numId="26" w16cid:durableId="230581232">
    <w:abstractNumId w:val="8"/>
  </w:num>
  <w:num w:numId="27" w16cid:durableId="2051101836">
    <w:abstractNumId w:val="3"/>
  </w:num>
  <w:num w:numId="28" w16cid:durableId="1869099285">
    <w:abstractNumId w:val="2"/>
  </w:num>
  <w:num w:numId="29" w16cid:durableId="1116296532">
    <w:abstractNumId w:val="1"/>
  </w:num>
  <w:num w:numId="30" w16cid:durableId="396784127">
    <w:abstractNumId w:val="0"/>
  </w:num>
  <w:num w:numId="31" w16cid:durableId="516430586">
    <w:abstractNumId w:val="9"/>
  </w:num>
  <w:num w:numId="32" w16cid:durableId="1477338729">
    <w:abstractNumId w:val="7"/>
  </w:num>
  <w:num w:numId="33" w16cid:durableId="84963524">
    <w:abstractNumId w:val="6"/>
  </w:num>
  <w:num w:numId="34" w16cid:durableId="2112969078">
    <w:abstractNumId w:val="5"/>
  </w:num>
  <w:num w:numId="35" w16cid:durableId="1059792318">
    <w:abstractNumId w:val="4"/>
  </w:num>
  <w:num w:numId="36" w16cid:durableId="700404203">
    <w:abstractNumId w:val="8"/>
  </w:num>
  <w:num w:numId="37" w16cid:durableId="185604927">
    <w:abstractNumId w:val="3"/>
  </w:num>
  <w:num w:numId="38" w16cid:durableId="588775800">
    <w:abstractNumId w:val="2"/>
  </w:num>
  <w:num w:numId="39" w16cid:durableId="635335307">
    <w:abstractNumId w:val="1"/>
  </w:num>
  <w:num w:numId="40" w16cid:durableId="1306738001">
    <w:abstractNumId w:val="0"/>
  </w:num>
  <w:num w:numId="41" w16cid:durableId="833225181">
    <w:abstractNumId w:val="10"/>
  </w:num>
  <w:num w:numId="42" w16cid:durableId="1859806096">
    <w:abstractNumId w:val="10"/>
  </w:num>
  <w:num w:numId="43" w16cid:durableId="1334576479">
    <w:abstractNumId w:val="10"/>
  </w:num>
  <w:num w:numId="44" w16cid:durableId="17348897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BG"/>
    <w:docVar w:name="dvnumam" w:val="0"/>
    <w:docVar w:name="dvpe" w:val="785.218"/>
    <w:docVar w:name="dvrapporteur" w:val="Докладчик: "/>
    <w:docVar w:name="dvstar" w:val="***II"/>
    <w:docVar w:name="dvtitre" w:val="Законодателна резолюция на Европейския парламент от ... 2026 г. относно позицията на Съвета на първо четене с оглед на приемането на директива на Европейския парламент и на Съвета за изменение на Директива 2014/59/ЕС по отношение на мерките за ранна намеса, условията за преструктуриране и финансирането на действията по преструктуриране и на Директива 2014/24/ЕС по отношение на услугите по оценяване при преструктуриране(15445/1/25 – C10-0073/2026 – 2023/0112(COD))"/>
  </w:docVars>
  <w:rsids>
    <w:rsidRoot w:val="00201622"/>
    <w:rsid w:val="00002272"/>
    <w:rsid w:val="00064002"/>
    <w:rsid w:val="000677B9"/>
    <w:rsid w:val="0007535C"/>
    <w:rsid w:val="000831BA"/>
    <w:rsid w:val="000A42CC"/>
    <w:rsid w:val="000E7DD9"/>
    <w:rsid w:val="0010095E"/>
    <w:rsid w:val="00125B37"/>
    <w:rsid w:val="00187494"/>
    <w:rsid w:val="001F32AE"/>
    <w:rsid w:val="00201622"/>
    <w:rsid w:val="002767FF"/>
    <w:rsid w:val="002B18FE"/>
    <w:rsid w:val="002B5493"/>
    <w:rsid w:val="002C6CDC"/>
    <w:rsid w:val="00343214"/>
    <w:rsid w:val="00361C00"/>
    <w:rsid w:val="00395FA1"/>
    <w:rsid w:val="003E15D4"/>
    <w:rsid w:val="00411CCE"/>
    <w:rsid w:val="0041666E"/>
    <w:rsid w:val="00421060"/>
    <w:rsid w:val="004572D1"/>
    <w:rsid w:val="00471C19"/>
    <w:rsid w:val="004867E3"/>
    <w:rsid w:val="00494A28"/>
    <w:rsid w:val="004C0004"/>
    <w:rsid w:val="004C5D52"/>
    <w:rsid w:val="0050519A"/>
    <w:rsid w:val="005072A1"/>
    <w:rsid w:val="00514056"/>
    <w:rsid w:val="00514517"/>
    <w:rsid w:val="00545827"/>
    <w:rsid w:val="00560270"/>
    <w:rsid w:val="005C2568"/>
    <w:rsid w:val="005F1B17"/>
    <w:rsid w:val="006037C0"/>
    <w:rsid w:val="006122AE"/>
    <w:rsid w:val="00642293"/>
    <w:rsid w:val="006631B6"/>
    <w:rsid w:val="00680577"/>
    <w:rsid w:val="006F74FA"/>
    <w:rsid w:val="0070728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65A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3DC4"/>
    <w:rsid w:val="00AB441E"/>
    <w:rsid w:val="00AB6293"/>
    <w:rsid w:val="00AE0928"/>
    <w:rsid w:val="00AF3B82"/>
    <w:rsid w:val="00B12E95"/>
    <w:rsid w:val="00B22876"/>
    <w:rsid w:val="00B2338E"/>
    <w:rsid w:val="00B4296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96EB2E"/>
  <w15:chartTrackingRefBased/>
  <w15:docId w15:val="{21C94087-4E06-4218-8B79-8E2D3E6FE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2338E"/>
    <w:pPr>
      <w:spacing w:before="480" w:after="240"/>
    </w:pPr>
  </w:style>
  <w:style w:type="paragraph" w:customStyle="1" w:styleId="NormalBold">
    <w:name w:val="NormalBold"/>
    <w:basedOn w:val="Normal"/>
    <w:rsid w:val="00B2338E"/>
    <w:rPr>
      <w:b/>
    </w:rPr>
  </w:style>
  <w:style w:type="paragraph" w:customStyle="1" w:styleId="NormalHanging12a">
    <w:name w:val="NormalHanging12a"/>
    <w:basedOn w:val="Normal"/>
    <w:rsid w:val="00B2338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572D1"/>
    <w:rPr>
      <w:sz w:val="24"/>
      <w:lang w:val="bg-BG"/>
    </w:rPr>
  </w:style>
  <w:style w:type="character" w:styleId="CommentReference">
    <w:name w:val="annotation reference"/>
    <w:basedOn w:val="DefaultParagraphFont"/>
    <w:rsid w:val="007072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728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7289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7072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7289"/>
    <w:rPr>
      <w:b/>
      <w:bCs/>
      <w:lang w:val="bg-BG"/>
    </w:rPr>
  </w:style>
  <w:style w:type="character" w:styleId="Hyperlink">
    <w:name w:val="Hyperlink"/>
    <w:basedOn w:val="DefaultParagraphFont"/>
    <w:rsid w:val="000753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53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2026-03-26T10:24:00Z</dcterms:created>
  <dcterms:modified xsi:type="dcterms:W3CDTF">2026-03-26T10:24:00Z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A10-0066/2026</vt:lpwstr>
  </property>
  <property fmtid="{D5CDD505-2E9C-101B-9397-08002B2CF9AE}" pid="4" name="&lt;Type&gt;">
    <vt:lpwstr>RR</vt:lpwstr>
  </property>
</Properties>
</file>