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C220C" w14:paraId="7DCA0BA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A9E94E" w14:textId="26D47206" w:rsidR="00751A4A" w:rsidRPr="007C220C" w:rsidRDefault="00CD38CF" w:rsidP="0010095E">
            <w:pPr>
              <w:pStyle w:val="EPName"/>
            </w:pPr>
            <w:r w:rsidRPr="007C220C">
              <w:t>Evropský parlament</w:t>
            </w:r>
          </w:p>
          <w:p w14:paraId="4A6812C7" w14:textId="77777777" w:rsidR="00751A4A" w:rsidRPr="007C220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C220C">
              <w:t>2024</w:t>
            </w:r>
            <w:r w:rsidR="00817416" w:rsidRPr="007C220C">
              <w:t>-202</w:t>
            </w:r>
            <w:r w:rsidRPr="007C220C">
              <w:t>9</w:t>
            </w:r>
          </w:p>
        </w:tc>
        <w:tc>
          <w:tcPr>
            <w:tcW w:w="2268" w:type="dxa"/>
            <w:shd w:val="clear" w:color="auto" w:fill="auto"/>
          </w:tcPr>
          <w:p w14:paraId="15A53409" w14:textId="77777777" w:rsidR="00751A4A" w:rsidRPr="007C220C" w:rsidRDefault="00187494" w:rsidP="0010095E">
            <w:pPr>
              <w:pStyle w:val="EPLogo"/>
            </w:pPr>
            <w:r w:rsidRPr="007C220C">
              <w:rPr>
                <w:noProof/>
                <w:lang w:eastAsia="ja-JP"/>
              </w:rPr>
              <w:drawing>
                <wp:inline distT="0" distB="0" distL="0" distR="0" wp14:anchorId="0E4D3CF3" wp14:editId="4427ED2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2D92A1" w14:textId="77777777" w:rsidR="00D058B8" w:rsidRPr="007C220C" w:rsidRDefault="00D058B8" w:rsidP="004C5D52">
      <w:pPr>
        <w:pStyle w:val="LineTop"/>
      </w:pPr>
    </w:p>
    <w:p w14:paraId="2E5F14AA" w14:textId="5A47CD39" w:rsidR="00680577" w:rsidRPr="007C220C" w:rsidRDefault="00CD38CF" w:rsidP="00680577">
      <w:pPr>
        <w:pStyle w:val="EPBodyTA1"/>
      </w:pPr>
      <w:r w:rsidRPr="007C220C">
        <w:t>PŘIJATÉ TEXTY</w:t>
      </w:r>
    </w:p>
    <w:p w14:paraId="10A87FFF" w14:textId="77777777" w:rsidR="00D058B8" w:rsidRPr="007C220C" w:rsidRDefault="00D058B8" w:rsidP="00D058B8">
      <w:pPr>
        <w:pStyle w:val="LineBottom"/>
      </w:pPr>
    </w:p>
    <w:p w14:paraId="2E5BBDB3" w14:textId="0F985F76" w:rsidR="00CD38CF" w:rsidRPr="000D55D3" w:rsidRDefault="00CD38CF" w:rsidP="00CD38CF">
      <w:pPr>
        <w:pStyle w:val="ATHeading1"/>
      </w:pPr>
      <w:bookmarkStart w:id="0" w:name="TANumber"/>
      <w:r w:rsidRPr="000D55D3">
        <w:t>P10_TA(2026)00</w:t>
      </w:r>
      <w:r w:rsidR="007B2644">
        <w:t>91</w:t>
      </w:r>
      <w:bookmarkEnd w:id="0"/>
    </w:p>
    <w:p w14:paraId="1AC8FA1E" w14:textId="056FBA94" w:rsidR="00CD38CF" w:rsidRPr="000D55D3" w:rsidRDefault="00CD38CF" w:rsidP="00CD38CF">
      <w:pPr>
        <w:pStyle w:val="ATHeading2"/>
      </w:pPr>
      <w:bookmarkStart w:id="1" w:name="title"/>
      <w:r w:rsidRPr="000D55D3">
        <w:t xml:space="preserve">Opatření včasného zásahu, podmínky zahájení řešení krize a financování opatření k řešení </w:t>
      </w:r>
      <w:r w:rsidRPr="00F62B3D">
        <w:t>krize</w:t>
      </w:r>
      <w:bookmarkEnd w:id="1"/>
      <w:r w:rsidR="00F62B3D">
        <w:t xml:space="preserve"> </w:t>
      </w:r>
      <w:r w:rsidR="00F62B3D" w:rsidRPr="00F62B3D">
        <w:t>(BRRD3)</w:t>
      </w:r>
    </w:p>
    <w:p w14:paraId="3AA7881F" w14:textId="77777777" w:rsidR="00CD38CF" w:rsidRPr="007C220C" w:rsidRDefault="00CD38CF" w:rsidP="00CD38CF">
      <w:pPr>
        <w:rPr>
          <w:i/>
          <w:vanish/>
        </w:rPr>
      </w:pPr>
      <w:r w:rsidRPr="007C220C">
        <w:rPr>
          <w:i/>
        </w:rPr>
        <w:fldChar w:fldCharType="begin"/>
      </w:r>
      <w:r w:rsidRPr="007C220C">
        <w:rPr>
          <w:i/>
        </w:rPr>
        <w:instrText xml:space="preserve"> TC"(</w:instrText>
      </w:r>
      <w:bookmarkStart w:id="2" w:name="DocNumber"/>
      <w:r w:rsidRPr="007C220C">
        <w:rPr>
          <w:i/>
        </w:rPr>
        <w:instrText>A10-0066/2026</w:instrText>
      </w:r>
      <w:bookmarkEnd w:id="2"/>
      <w:r w:rsidRPr="007C220C">
        <w:rPr>
          <w:i/>
        </w:rPr>
        <w:instrText xml:space="preserve"> - Zpravodaj: Luděk </w:instrText>
      </w:r>
      <w:proofErr w:type="spellStart"/>
      <w:r w:rsidRPr="007C220C">
        <w:rPr>
          <w:i/>
        </w:rPr>
        <w:instrText>Niedermayer</w:instrText>
      </w:r>
      <w:proofErr w:type="spellEnd"/>
      <w:r w:rsidRPr="007C220C">
        <w:rPr>
          <w:i/>
        </w:rPr>
        <w:instrText xml:space="preserve">)"\l3 \n&gt; \* MERGEFORMAT </w:instrText>
      </w:r>
      <w:r w:rsidRPr="007C220C">
        <w:rPr>
          <w:i/>
        </w:rPr>
        <w:fldChar w:fldCharType="end"/>
      </w:r>
    </w:p>
    <w:p w14:paraId="6DD0BDF7" w14:textId="77777777" w:rsidR="00CD38CF" w:rsidRPr="007C220C" w:rsidRDefault="00CD38CF" w:rsidP="00CD38CF">
      <w:pPr>
        <w:rPr>
          <w:vanish/>
        </w:rPr>
      </w:pPr>
      <w:bookmarkStart w:id="3" w:name="Commission"/>
      <w:r w:rsidRPr="007C220C">
        <w:rPr>
          <w:vanish/>
        </w:rPr>
        <w:t>Hospodářský a měnový výbor</w:t>
      </w:r>
      <w:bookmarkEnd w:id="3"/>
    </w:p>
    <w:p w14:paraId="40717DDA" w14:textId="5A84521D" w:rsidR="00CD38CF" w:rsidRPr="007C220C" w:rsidRDefault="00CD38CF" w:rsidP="00CD38CF">
      <w:pPr>
        <w:rPr>
          <w:vanish/>
        </w:rPr>
      </w:pPr>
      <w:bookmarkStart w:id="4" w:name="PE"/>
      <w:r w:rsidRPr="007C220C">
        <w:rPr>
          <w:vanish/>
        </w:rPr>
        <w:t>PE</w:t>
      </w:r>
      <w:r w:rsidR="00661E57" w:rsidRPr="00000B11">
        <w:rPr>
          <w:vanish/>
        </w:rPr>
        <w:t>785.218</w:t>
      </w:r>
    </w:p>
    <w:p w14:paraId="56DBA306" w14:textId="77777777" w:rsidR="00CD38CF" w:rsidRPr="000D55D3" w:rsidRDefault="00CD38CF" w:rsidP="00CD38CF">
      <w:pPr>
        <w:pStyle w:val="ATHeading3"/>
      </w:pPr>
      <w:bookmarkStart w:id="5" w:name="Sujet"/>
      <w:r w:rsidRPr="000D55D3">
        <w:t>Legislativní usnesení Evropského parlamentu ze dne 26. března 2026 k postoji Rady v prvním čtení k přijetí směrnice Evropského parlamentu a Rady, kterou se mění směrnice 2014/59/EU, pokud jde o opatření včasného zásahu, podmínky zahájení řešení krize a financování opatření k řešení krize, a směrnice 2014/24/EU, pokud jde o oceňovací služby při řešení krize</w:t>
      </w:r>
      <w:bookmarkEnd w:id="5"/>
      <w:r w:rsidRPr="000D55D3">
        <w:t xml:space="preserve"> </w:t>
      </w:r>
      <w:bookmarkStart w:id="6" w:name="References"/>
      <w:r w:rsidRPr="000D55D3">
        <w:t>(15445/1/25 – C10-0073/</w:t>
      </w:r>
      <w:proofErr w:type="gramStart"/>
      <w:r w:rsidRPr="000D55D3">
        <w:t>2026 – 2023</w:t>
      </w:r>
      <w:proofErr w:type="gramEnd"/>
      <w:r w:rsidRPr="000D55D3">
        <w:t>/0112(COD))</w:t>
      </w:r>
      <w:bookmarkEnd w:id="6"/>
    </w:p>
    <w:p w14:paraId="18C9D8C6" w14:textId="77777777" w:rsidR="0069670B" w:rsidRPr="007C220C" w:rsidRDefault="0069670B" w:rsidP="0069670B">
      <w:pPr>
        <w:pStyle w:val="NormalBold"/>
      </w:pPr>
      <w:bookmarkStart w:id="7" w:name="TextBodyBegin"/>
      <w:bookmarkEnd w:id="4"/>
      <w:bookmarkEnd w:id="7"/>
      <w:r w:rsidRPr="007C220C">
        <w:t>(Řádný legislativní postup: druhé čtení)</w:t>
      </w:r>
    </w:p>
    <w:p w14:paraId="128DD995" w14:textId="77777777" w:rsidR="0069670B" w:rsidRPr="007C220C" w:rsidRDefault="0069670B" w:rsidP="0069670B">
      <w:pPr>
        <w:pStyle w:val="EPComma"/>
      </w:pPr>
      <w:r w:rsidRPr="007C220C">
        <w:rPr>
          <w:i/>
        </w:rPr>
        <w:t>Evropský parlament</w:t>
      </w:r>
      <w:r w:rsidRPr="007C220C">
        <w:t>,</w:t>
      </w:r>
    </w:p>
    <w:p w14:paraId="66E0DEB3" w14:textId="77777777" w:rsidR="0069670B" w:rsidRPr="007C220C" w:rsidRDefault="0069670B" w:rsidP="0069670B">
      <w:pPr>
        <w:pStyle w:val="NormalHanging12a"/>
      </w:pPr>
      <w:r w:rsidRPr="007C220C">
        <w:t>–</w:t>
      </w:r>
      <w:r w:rsidRPr="007C220C">
        <w:tab/>
        <w:t>s ohledem na postoj Rady v prvním čtení (15445/1/25 – C10</w:t>
      </w:r>
      <w:r w:rsidRPr="007C220C">
        <w:noBreakHyphen/>
        <w:t>0073/2026),</w:t>
      </w:r>
    </w:p>
    <w:p w14:paraId="5BCC745C" w14:textId="77777777" w:rsidR="0069670B" w:rsidRPr="007C220C" w:rsidRDefault="0069670B" w:rsidP="0069670B">
      <w:pPr>
        <w:pStyle w:val="NormalHanging12a"/>
      </w:pPr>
      <w:r w:rsidRPr="007C220C">
        <w:t>–</w:t>
      </w:r>
      <w:r w:rsidRPr="007C220C">
        <w:tab/>
        <w:t>s ohledem na stanovisko Evropské centrální banky ze dne 5. července 2023</w:t>
      </w:r>
      <w:r w:rsidRPr="007C220C">
        <w:rPr>
          <w:vertAlign w:val="superscript"/>
        </w:rPr>
        <w:footnoteReference w:id="1"/>
      </w:r>
      <w:r w:rsidRPr="007C220C">
        <w:t>,</w:t>
      </w:r>
    </w:p>
    <w:p w14:paraId="4D98C683" w14:textId="77777777" w:rsidR="0069670B" w:rsidRPr="007C220C" w:rsidRDefault="0069670B" w:rsidP="0069670B">
      <w:pPr>
        <w:pStyle w:val="NormalHanging12a"/>
      </w:pPr>
      <w:r w:rsidRPr="007C220C">
        <w:t>–</w:t>
      </w:r>
      <w:r w:rsidRPr="007C220C">
        <w:tab/>
        <w:t>s ohledem na stanovisko Evropského hospodářského a sociálního výboru ze dne 13. července 2023</w:t>
      </w:r>
      <w:r w:rsidRPr="007C220C">
        <w:rPr>
          <w:bCs/>
          <w:vertAlign w:val="superscript"/>
        </w:rPr>
        <w:footnoteReference w:id="2"/>
      </w:r>
      <w:r w:rsidRPr="007C220C">
        <w:t>,</w:t>
      </w:r>
    </w:p>
    <w:p w14:paraId="7904684D" w14:textId="0EBD8747" w:rsidR="0069670B" w:rsidRPr="007C220C" w:rsidRDefault="0069670B" w:rsidP="0069670B">
      <w:pPr>
        <w:pStyle w:val="NormalHanging12a"/>
      </w:pPr>
      <w:r w:rsidRPr="007C220C">
        <w:t>–</w:t>
      </w:r>
      <w:r w:rsidRPr="007C220C">
        <w:tab/>
        <w:t>s ohledem na svůj postoj v prvním čtení</w:t>
      </w:r>
      <w:r w:rsidRPr="007C220C">
        <w:rPr>
          <w:rStyle w:val="FootnoteReference"/>
        </w:rPr>
        <w:footnoteReference w:id="3"/>
      </w:r>
      <w:r w:rsidRPr="007C220C">
        <w:t xml:space="preserve"> k návrhu Komise předloženému Evropskému parlamentu a Radě (COM(2023</w:t>
      </w:r>
      <w:r w:rsidR="00B54BD6">
        <w:t>)</w:t>
      </w:r>
      <w:r w:rsidRPr="007C220C">
        <w:t>0227),</w:t>
      </w:r>
    </w:p>
    <w:p w14:paraId="39225493" w14:textId="77777777" w:rsidR="0069670B" w:rsidRPr="007C220C" w:rsidRDefault="0069670B" w:rsidP="0069670B">
      <w:pPr>
        <w:pStyle w:val="NormalHanging12a"/>
      </w:pPr>
      <w:r w:rsidRPr="007C220C">
        <w:t>–</w:t>
      </w:r>
      <w:r w:rsidRPr="007C220C">
        <w:tab/>
        <w:t>s ohledem na čl. 294 odst. 7 Smlouvy o fungování Evropské unie,</w:t>
      </w:r>
    </w:p>
    <w:p w14:paraId="751355F4" w14:textId="77777777" w:rsidR="0069670B" w:rsidRPr="007C220C" w:rsidRDefault="0069670B" w:rsidP="0069670B">
      <w:pPr>
        <w:pStyle w:val="NormalHanging12a"/>
      </w:pPr>
      <w:r w:rsidRPr="007C220C">
        <w:t>–</w:t>
      </w:r>
      <w:r w:rsidRPr="007C220C">
        <w:tab/>
        <w:t>s ohledem na předběžnou dohodu přijatou příslušným výborem podle čl. 75 odst. 4 jednacího řádu,</w:t>
      </w:r>
    </w:p>
    <w:p w14:paraId="01D56795" w14:textId="77777777" w:rsidR="0069670B" w:rsidRPr="007C220C" w:rsidRDefault="0069670B" w:rsidP="0069670B">
      <w:pPr>
        <w:pStyle w:val="NormalHanging12a"/>
      </w:pPr>
      <w:r w:rsidRPr="007C220C">
        <w:t>–</w:t>
      </w:r>
      <w:r w:rsidRPr="007C220C">
        <w:tab/>
        <w:t>s ohledem na článek 68 jednacího řádu,</w:t>
      </w:r>
    </w:p>
    <w:p w14:paraId="72F36F01" w14:textId="77777777" w:rsidR="0069670B" w:rsidRPr="007C220C" w:rsidRDefault="0069670B" w:rsidP="0069670B">
      <w:pPr>
        <w:pStyle w:val="NormalHanging12a"/>
      </w:pPr>
      <w:r w:rsidRPr="007C220C">
        <w:t>–</w:t>
      </w:r>
      <w:r w:rsidRPr="007C220C">
        <w:tab/>
        <w:t>s ohledem na doporučení pro druhé čtení předložené Hospodářským a měnovým výborem (A10</w:t>
      </w:r>
      <w:r w:rsidRPr="007C220C">
        <w:noBreakHyphen/>
        <w:t>0066/2026),</w:t>
      </w:r>
    </w:p>
    <w:p w14:paraId="7FF67C30" w14:textId="77777777" w:rsidR="0069670B" w:rsidRPr="007C220C" w:rsidRDefault="0069670B" w:rsidP="0069670B">
      <w:pPr>
        <w:pStyle w:val="NormalHanging12a"/>
      </w:pPr>
      <w:r w:rsidRPr="007C220C">
        <w:lastRenderedPageBreak/>
        <w:t>1.</w:t>
      </w:r>
      <w:r w:rsidRPr="007C220C">
        <w:tab/>
        <w:t>schvaluje postoj Rady v prvním čtení;</w:t>
      </w:r>
    </w:p>
    <w:p w14:paraId="2E0733E7" w14:textId="77777777" w:rsidR="0069670B" w:rsidRPr="007C220C" w:rsidRDefault="0069670B" w:rsidP="0069670B">
      <w:pPr>
        <w:pStyle w:val="NormalHanging12a"/>
      </w:pPr>
      <w:r w:rsidRPr="007C220C">
        <w:t>2.</w:t>
      </w:r>
      <w:r w:rsidRPr="007C220C">
        <w:tab/>
        <w:t>konstatuje, že akt je přijat v souladu s postojem Rady;</w:t>
      </w:r>
    </w:p>
    <w:p w14:paraId="655EDF23" w14:textId="77777777" w:rsidR="0069670B" w:rsidRPr="007C220C" w:rsidRDefault="0069670B" w:rsidP="0069670B">
      <w:pPr>
        <w:pStyle w:val="NormalHanging12a"/>
      </w:pPr>
      <w:r w:rsidRPr="007C220C">
        <w:t>3.</w:t>
      </w:r>
      <w:r w:rsidRPr="007C220C">
        <w:tab/>
        <w:t>pověřuje svou předsedkyni, aby společně s předsedou Rady podepsala akt podle čl. 297 odst. 1 Smlouvy o fungování Evropské unie;</w:t>
      </w:r>
    </w:p>
    <w:p w14:paraId="03A320BA" w14:textId="77777777" w:rsidR="0069670B" w:rsidRPr="007C220C" w:rsidRDefault="0069670B" w:rsidP="0069670B">
      <w:pPr>
        <w:pStyle w:val="NormalHanging12a"/>
      </w:pPr>
      <w:r w:rsidRPr="007C220C">
        <w:t>4.</w:t>
      </w:r>
      <w:r w:rsidRPr="007C220C">
        <w:tab/>
        <w:t>pověřuje svého generálního tajemníka, aby akt podepsal poté, co ověří, že všechny postupy byly řádně ukončeny, a aby společně s generální tajemnicí Rady zajistil jeho zveřejnění v </w:t>
      </w:r>
      <w:r w:rsidRPr="007C220C">
        <w:rPr>
          <w:i/>
        </w:rPr>
        <w:t>Úředním věstníku Evropské unie;</w:t>
      </w:r>
    </w:p>
    <w:p w14:paraId="242B3F56" w14:textId="248034AA" w:rsidR="006A5C58" w:rsidRPr="007C220C" w:rsidRDefault="0069670B" w:rsidP="006A5C58">
      <w:pPr>
        <w:pStyle w:val="NormalHanging12a"/>
      </w:pPr>
      <w:r w:rsidRPr="007C220C">
        <w:t>5.</w:t>
      </w:r>
      <w:r w:rsidRPr="007C220C">
        <w:tab/>
        <w:t>pověřuje svou předsedkyni, aby předala postoj Parlamentu Radě, Komisi a vnitrostátním parlamentům.</w:t>
      </w:r>
    </w:p>
    <w:p w14:paraId="5503AA33" w14:textId="6BD5DB52" w:rsidR="00E365E1" w:rsidRPr="007C220C" w:rsidRDefault="00E365E1" w:rsidP="00CD38CF"/>
    <w:sectPr w:rsidR="00E365E1" w:rsidRPr="007C220C" w:rsidSect="006A5C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0730C" w14:textId="77777777" w:rsidR="00CD38CF" w:rsidRPr="006A5C58" w:rsidRDefault="00CD38CF">
      <w:r w:rsidRPr="006A5C58">
        <w:separator/>
      </w:r>
    </w:p>
  </w:endnote>
  <w:endnote w:type="continuationSeparator" w:id="0">
    <w:p w14:paraId="63CD03B4" w14:textId="77777777" w:rsidR="00CD38CF" w:rsidRPr="006A5C58" w:rsidRDefault="00CD38CF">
      <w:r w:rsidRPr="006A5C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1A0CF" w14:textId="77777777" w:rsidR="00064002" w:rsidRPr="006A5C5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6A591" w14:textId="77777777" w:rsidR="00064002" w:rsidRPr="006A5C5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33499" w14:textId="77777777" w:rsidR="00064002" w:rsidRPr="006A5C5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E2F7D" w14:textId="77777777" w:rsidR="00CD38CF" w:rsidRPr="006A5C58" w:rsidRDefault="00CD38CF">
      <w:r w:rsidRPr="006A5C58">
        <w:separator/>
      </w:r>
    </w:p>
  </w:footnote>
  <w:footnote w:type="continuationSeparator" w:id="0">
    <w:p w14:paraId="2EDCA7DF" w14:textId="77777777" w:rsidR="00CD38CF" w:rsidRPr="006A5C58" w:rsidRDefault="00CD38CF">
      <w:r w:rsidRPr="006A5C58">
        <w:continuationSeparator/>
      </w:r>
    </w:p>
  </w:footnote>
  <w:footnote w:id="1">
    <w:p w14:paraId="177F535E" w14:textId="11859D44" w:rsidR="0069670B" w:rsidRPr="00BB3DD8" w:rsidRDefault="0069670B" w:rsidP="006A5C58">
      <w:pPr>
        <w:pStyle w:val="FootnoteText"/>
        <w:ind w:left="567" w:hanging="567"/>
        <w:rPr>
          <w:b/>
          <w:bCs/>
          <w:sz w:val="24"/>
          <w:lang w:val="cs-CZ"/>
        </w:rPr>
      </w:pPr>
      <w:r w:rsidRPr="00BB3DD8">
        <w:rPr>
          <w:rStyle w:val="FootnoteReference"/>
          <w:sz w:val="24"/>
          <w:lang w:val="cs-CZ"/>
        </w:rPr>
        <w:footnoteRef/>
      </w:r>
      <w:r w:rsidR="006A5C58" w:rsidRPr="00BB3DD8">
        <w:rPr>
          <w:sz w:val="24"/>
          <w:lang w:val="cs-CZ"/>
        </w:rPr>
        <w:t xml:space="preserve"> </w:t>
      </w:r>
      <w:r w:rsidR="006A5C58" w:rsidRPr="00BB3DD8">
        <w:rPr>
          <w:sz w:val="24"/>
          <w:lang w:val="cs-CZ"/>
        </w:rPr>
        <w:tab/>
      </w:r>
      <w:proofErr w:type="spellStart"/>
      <w:r w:rsidRPr="00BB3DD8">
        <w:rPr>
          <w:sz w:val="24"/>
          <w:lang w:val="cs-CZ"/>
        </w:rPr>
        <w:t>Úř</w:t>
      </w:r>
      <w:proofErr w:type="spellEnd"/>
      <w:r w:rsidRPr="00BB3DD8">
        <w:rPr>
          <w:sz w:val="24"/>
          <w:lang w:val="cs-CZ"/>
        </w:rPr>
        <w:t xml:space="preserve">. </w:t>
      </w:r>
      <w:proofErr w:type="spellStart"/>
      <w:r w:rsidRPr="00BB3DD8">
        <w:rPr>
          <w:sz w:val="24"/>
          <w:lang w:val="cs-CZ"/>
        </w:rPr>
        <w:t>věst</w:t>
      </w:r>
      <w:proofErr w:type="spellEnd"/>
      <w:r w:rsidRPr="00BB3DD8">
        <w:rPr>
          <w:sz w:val="24"/>
          <w:lang w:val="cs-CZ"/>
        </w:rPr>
        <w:t>. C 307, 31.8.2023, s. 19.</w:t>
      </w:r>
    </w:p>
  </w:footnote>
  <w:footnote w:id="2">
    <w:p w14:paraId="0AADFC17" w14:textId="63A5FD04" w:rsidR="0069670B" w:rsidRPr="00BB3DD8" w:rsidRDefault="0069670B" w:rsidP="006A5C58">
      <w:pPr>
        <w:pStyle w:val="FootnoteText"/>
        <w:ind w:left="567" w:hanging="567"/>
        <w:rPr>
          <w:sz w:val="24"/>
          <w:lang w:val="cs-CZ"/>
        </w:rPr>
      </w:pPr>
      <w:r w:rsidRPr="00BB3DD8">
        <w:rPr>
          <w:rStyle w:val="FootnoteReference"/>
          <w:sz w:val="24"/>
          <w:lang w:val="cs-CZ"/>
        </w:rPr>
        <w:footnoteRef/>
      </w:r>
      <w:bookmarkStart w:id="8" w:name="_Hlk212814778"/>
      <w:r w:rsidR="006A5C58" w:rsidRPr="00BB3DD8">
        <w:rPr>
          <w:sz w:val="24"/>
          <w:lang w:val="cs-CZ"/>
        </w:rPr>
        <w:t xml:space="preserve"> </w:t>
      </w:r>
      <w:r w:rsidR="006A5C58" w:rsidRPr="00BB3DD8">
        <w:rPr>
          <w:sz w:val="24"/>
          <w:lang w:val="cs-CZ"/>
        </w:rPr>
        <w:tab/>
      </w:r>
      <w:proofErr w:type="spellStart"/>
      <w:r w:rsidRPr="00BB3DD8">
        <w:rPr>
          <w:sz w:val="24"/>
          <w:lang w:val="cs-CZ"/>
        </w:rPr>
        <w:t>Úř</w:t>
      </w:r>
      <w:proofErr w:type="spellEnd"/>
      <w:r w:rsidRPr="00BB3DD8">
        <w:rPr>
          <w:sz w:val="24"/>
          <w:lang w:val="cs-CZ"/>
        </w:rPr>
        <w:t xml:space="preserve">. </w:t>
      </w:r>
      <w:proofErr w:type="spellStart"/>
      <w:r w:rsidRPr="00BB3DD8">
        <w:rPr>
          <w:sz w:val="24"/>
          <w:lang w:val="cs-CZ"/>
        </w:rPr>
        <w:t>věst</w:t>
      </w:r>
      <w:proofErr w:type="spellEnd"/>
      <w:r w:rsidRPr="00BB3DD8">
        <w:rPr>
          <w:sz w:val="24"/>
          <w:lang w:val="cs-CZ"/>
        </w:rPr>
        <w:t>. C 349, 29.9.2023, s. 161.</w:t>
      </w:r>
      <w:bookmarkEnd w:id="8"/>
    </w:p>
  </w:footnote>
  <w:footnote w:id="3">
    <w:p w14:paraId="4FACC802" w14:textId="0B017B3A" w:rsidR="0069670B" w:rsidRPr="006A5C58" w:rsidRDefault="0069670B" w:rsidP="006A5C58">
      <w:pPr>
        <w:pStyle w:val="FootnoteText"/>
        <w:ind w:left="567" w:hanging="567"/>
        <w:rPr>
          <w:sz w:val="24"/>
          <w:lang w:val="cs-CZ"/>
        </w:rPr>
      </w:pPr>
      <w:r w:rsidRPr="00BB3DD8">
        <w:rPr>
          <w:rStyle w:val="FootnoteReference"/>
          <w:sz w:val="24"/>
          <w:lang w:val="cs-CZ"/>
        </w:rPr>
        <w:footnoteRef/>
      </w:r>
      <w:r w:rsidR="006A5C58" w:rsidRPr="00BB3DD8">
        <w:rPr>
          <w:sz w:val="24"/>
          <w:lang w:val="cs-CZ"/>
        </w:rPr>
        <w:t xml:space="preserve"> </w:t>
      </w:r>
      <w:r w:rsidR="006A5C58" w:rsidRPr="00BB3DD8">
        <w:rPr>
          <w:sz w:val="24"/>
          <w:lang w:val="cs-CZ"/>
        </w:rPr>
        <w:tab/>
      </w:r>
      <w:proofErr w:type="spellStart"/>
      <w:r w:rsidR="00BB3DD8" w:rsidRPr="00BB3DD8">
        <w:rPr>
          <w:sz w:val="24"/>
          <w:lang w:val="cs-CZ"/>
        </w:rPr>
        <w:t>Úř</w:t>
      </w:r>
      <w:proofErr w:type="spellEnd"/>
      <w:r w:rsidR="00BB3DD8" w:rsidRPr="00BB3DD8">
        <w:rPr>
          <w:sz w:val="24"/>
          <w:lang w:val="cs-CZ"/>
        </w:rPr>
        <w:t xml:space="preserve">. </w:t>
      </w:r>
      <w:proofErr w:type="spellStart"/>
      <w:r w:rsidR="00BB3DD8" w:rsidRPr="00BB3DD8">
        <w:rPr>
          <w:sz w:val="24"/>
          <w:lang w:val="cs-CZ"/>
        </w:rPr>
        <w:t>věst</w:t>
      </w:r>
      <w:proofErr w:type="spellEnd"/>
      <w:r w:rsidR="00BB3DD8" w:rsidRPr="00BB3DD8">
        <w:rPr>
          <w:sz w:val="24"/>
          <w:lang w:val="cs-CZ"/>
        </w:rPr>
        <w:t xml:space="preserve">. </w:t>
      </w:r>
      <w:r w:rsidR="00BB3DD8" w:rsidRPr="000D55D3">
        <w:rPr>
          <w:sz w:val="24"/>
          <w:lang w:val="pl-PL"/>
        </w:rPr>
        <w:t>C, C/2025/3753, 17.9.2025, ELI: </w:t>
      </w:r>
      <w:hyperlink r:id="rId1" w:tgtFrame="_blank" w:tooltip="Gives access to this document through its ELI URI." w:history="1">
        <w:r w:rsidR="00BB3DD8" w:rsidRPr="000D55D3">
          <w:rPr>
            <w:rStyle w:val="Hyperlink"/>
            <w:sz w:val="24"/>
            <w:lang w:val="pl-PL"/>
          </w:rPr>
          <w:t>http://data.europa.eu/eli/C/2025/3753/oj</w:t>
        </w:r>
      </w:hyperlink>
      <w:r w:rsidRPr="00BB3DD8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30346" w14:textId="77777777" w:rsidR="00064002" w:rsidRPr="006A5C5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06535" w14:textId="77777777" w:rsidR="00064002" w:rsidRPr="006A5C5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5BDEA" w14:textId="77777777" w:rsidR="00064002" w:rsidRPr="006A5C5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54103072">
    <w:abstractNumId w:val="9"/>
  </w:num>
  <w:num w:numId="2" w16cid:durableId="1945723804">
    <w:abstractNumId w:val="9"/>
  </w:num>
  <w:num w:numId="3" w16cid:durableId="1331326575">
    <w:abstractNumId w:val="7"/>
  </w:num>
  <w:num w:numId="4" w16cid:durableId="434444347">
    <w:abstractNumId w:val="7"/>
  </w:num>
  <w:num w:numId="5" w16cid:durableId="1052509309">
    <w:abstractNumId w:val="6"/>
  </w:num>
  <w:num w:numId="6" w16cid:durableId="2011445428">
    <w:abstractNumId w:val="6"/>
  </w:num>
  <w:num w:numId="7" w16cid:durableId="273636010">
    <w:abstractNumId w:val="5"/>
  </w:num>
  <w:num w:numId="8" w16cid:durableId="2070379755">
    <w:abstractNumId w:val="5"/>
  </w:num>
  <w:num w:numId="9" w16cid:durableId="1106271492">
    <w:abstractNumId w:val="4"/>
  </w:num>
  <w:num w:numId="10" w16cid:durableId="1221092056">
    <w:abstractNumId w:val="4"/>
  </w:num>
  <w:num w:numId="11" w16cid:durableId="307789804">
    <w:abstractNumId w:val="8"/>
  </w:num>
  <w:num w:numId="12" w16cid:durableId="1807578652">
    <w:abstractNumId w:val="8"/>
  </w:num>
  <w:num w:numId="13" w16cid:durableId="1165703516">
    <w:abstractNumId w:val="3"/>
  </w:num>
  <w:num w:numId="14" w16cid:durableId="1492451431">
    <w:abstractNumId w:val="3"/>
  </w:num>
  <w:num w:numId="15" w16cid:durableId="1940521827">
    <w:abstractNumId w:val="2"/>
  </w:num>
  <w:num w:numId="16" w16cid:durableId="1117682130">
    <w:abstractNumId w:val="2"/>
  </w:num>
  <w:num w:numId="17" w16cid:durableId="1646080130">
    <w:abstractNumId w:val="1"/>
  </w:num>
  <w:num w:numId="18" w16cid:durableId="1923369796">
    <w:abstractNumId w:val="1"/>
  </w:num>
  <w:num w:numId="19" w16cid:durableId="1417021096">
    <w:abstractNumId w:val="0"/>
  </w:num>
  <w:num w:numId="20" w16cid:durableId="1970355650">
    <w:abstractNumId w:val="0"/>
  </w:num>
  <w:num w:numId="21" w16cid:durableId="166987545">
    <w:abstractNumId w:val="9"/>
  </w:num>
  <w:num w:numId="22" w16cid:durableId="76633546">
    <w:abstractNumId w:val="7"/>
  </w:num>
  <w:num w:numId="23" w16cid:durableId="768505201">
    <w:abstractNumId w:val="6"/>
  </w:num>
  <w:num w:numId="24" w16cid:durableId="1539970959">
    <w:abstractNumId w:val="5"/>
  </w:num>
  <w:num w:numId="25" w16cid:durableId="671683650">
    <w:abstractNumId w:val="4"/>
  </w:num>
  <w:num w:numId="26" w16cid:durableId="102499119">
    <w:abstractNumId w:val="8"/>
  </w:num>
  <w:num w:numId="27" w16cid:durableId="329913742">
    <w:abstractNumId w:val="3"/>
  </w:num>
  <w:num w:numId="28" w16cid:durableId="1392773823">
    <w:abstractNumId w:val="2"/>
  </w:num>
  <w:num w:numId="29" w16cid:durableId="1576085798">
    <w:abstractNumId w:val="1"/>
  </w:num>
  <w:num w:numId="30" w16cid:durableId="2099209054">
    <w:abstractNumId w:val="0"/>
  </w:num>
  <w:num w:numId="31" w16cid:durableId="552497674">
    <w:abstractNumId w:val="9"/>
  </w:num>
  <w:num w:numId="32" w16cid:durableId="1736120140">
    <w:abstractNumId w:val="7"/>
  </w:num>
  <w:num w:numId="33" w16cid:durableId="1365061050">
    <w:abstractNumId w:val="6"/>
  </w:num>
  <w:num w:numId="34" w16cid:durableId="1623462862">
    <w:abstractNumId w:val="5"/>
  </w:num>
  <w:num w:numId="35" w16cid:durableId="602684078">
    <w:abstractNumId w:val="4"/>
  </w:num>
  <w:num w:numId="36" w16cid:durableId="686752123">
    <w:abstractNumId w:val="8"/>
  </w:num>
  <w:num w:numId="37" w16cid:durableId="609437199">
    <w:abstractNumId w:val="3"/>
  </w:num>
  <w:num w:numId="38" w16cid:durableId="1709185775">
    <w:abstractNumId w:val="2"/>
  </w:num>
  <w:num w:numId="39" w16cid:durableId="1528175100">
    <w:abstractNumId w:val="1"/>
  </w:num>
  <w:num w:numId="40" w16cid:durableId="1300108400">
    <w:abstractNumId w:val="0"/>
  </w:num>
  <w:num w:numId="41" w16cid:durableId="208686727">
    <w:abstractNumId w:val="10"/>
  </w:num>
  <w:num w:numId="42" w16cid:durableId="903301739">
    <w:abstractNumId w:val="10"/>
  </w:num>
  <w:num w:numId="43" w16cid:durableId="1272710521">
    <w:abstractNumId w:val="10"/>
  </w:num>
  <w:num w:numId="44" w16cid:durableId="8603586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6/2026"/>
    <w:docVar w:name="dvlangue" w:val="CS"/>
    <w:docVar w:name="dvnumam" w:val="0"/>
    <w:docVar w:name="dvpe" w:val="_x000d__x000a_"/>
    <w:docVar w:name="dvrapporteur" w:val="Zpravodaj: "/>
    <w:docVar w:name="dvstar" w:val="***II"/>
    <w:docVar w:name="dvtitre" w:val="Legislativní usnesení Evropského parlamentu ze dne 26. března 2026 k postoji Rady v prvním čtení k přijetí směrnice Evropského parlamentu a Rady, kterou se mění směrnice 2014/59/EU, pokud jde o opatření včasného zásahu, podmínky zahájení řešení krize a financování opatření k řešení krize, a směrnice 2014/24/EU, pokud jde o oceňovací služby při řešení krize(15445/1/25 – C10-0073/2026 – 2023/0112(COD))"/>
  </w:docVars>
  <w:rsids>
    <w:rsidRoot w:val="00CD38CF"/>
    <w:rsid w:val="00002272"/>
    <w:rsid w:val="00064002"/>
    <w:rsid w:val="000677B9"/>
    <w:rsid w:val="000831BA"/>
    <w:rsid w:val="000A42CC"/>
    <w:rsid w:val="000D55D3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1E57"/>
    <w:rsid w:val="006631B6"/>
    <w:rsid w:val="00680577"/>
    <w:rsid w:val="0069670B"/>
    <w:rsid w:val="006A5C58"/>
    <w:rsid w:val="006F74FA"/>
    <w:rsid w:val="00731ADD"/>
    <w:rsid w:val="00734777"/>
    <w:rsid w:val="00747932"/>
    <w:rsid w:val="00751A4A"/>
    <w:rsid w:val="00756632"/>
    <w:rsid w:val="00762C74"/>
    <w:rsid w:val="00786EC0"/>
    <w:rsid w:val="007B2644"/>
    <w:rsid w:val="007C220C"/>
    <w:rsid w:val="007D1690"/>
    <w:rsid w:val="007E22AD"/>
    <w:rsid w:val="00817416"/>
    <w:rsid w:val="00842779"/>
    <w:rsid w:val="0084470D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1FC9"/>
    <w:rsid w:val="00AB441E"/>
    <w:rsid w:val="00AB6293"/>
    <w:rsid w:val="00AE0928"/>
    <w:rsid w:val="00AF3B82"/>
    <w:rsid w:val="00B12E95"/>
    <w:rsid w:val="00B20A09"/>
    <w:rsid w:val="00B22876"/>
    <w:rsid w:val="00B54BD6"/>
    <w:rsid w:val="00B558F0"/>
    <w:rsid w:val="00BB3DD8"/>
    <w:rsid w:val="00BD48FE"/>
    <w:rsid w:val="00BD7BD8"/>
    <w:rsid w:val="00BE6ADC"/>
    <w:rsid w:val="00C05BFE"/>
    <w:rsid w:val="00C23CD4"/>
    <w:rsid w:val="00C462F4"/>
    <w:rsid w:val="00C61C0C"/>
    <w:rsid w:val="00C941CB"/>
    <w:rsid w:val="00CC2357"/>
    <w:rsid w:val="00CD38CF"/>
    <w:rsid w:val="00CF071A"/>
    <w:rsid w:val="00D058B8"/>
    <w:rsid w:val="00D56C11"/>
    <w:rsid w:val="00D834A0"/>
    <w:rsid w:val="00D872DF"/>
    <w:rsid w:val="00D91E21"/>
    <w:rsid w:val="00DA7FCD"/>
    <w:rsid w:val="00E365E1"/>
    <w:rsid w:val="00E778C5"/>
    <w:rsid w:val="00E820A4"/>
    <w:rsid w:val="00E94B32"/>
    <w:rsid w:val="00EA754B"/>
    <w:rsid w:val="00EB006A"/>
    <w:rsid w:val="00EB4772"/>
    <w:rsid w:val="00ED169E"/>
    <w:rsid w:val="00ED4235"/>
    <w:rsid w:val="00F04346"/>
    <w:rsid w:val="00F075DC"/>
    <w:rsid w:val="00F149E9"/>
    <w:rsid w:val="00F5134D"/>
    <w:rsid w:val="00F62B3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F206A3"/>
  <w15:chartTrackingRefBased/>
  <w15:docId w15:val="{7FEF5F96-4FC8-431B-9332-37ECE2558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9670B"/>
    <w:pPr>
      <w:spacing w:before="480" w:after="240"/>
    </w:pPr>
  </w:style>
  <w:style w:type="paragraph" w:customStyle="1" w:styleId="NormalBold">
    <w:name w:val="NormalBold"/>
    <w:basedOn w:val="Normal"/>
    <w:rsid w:val="0069670B"/>
    <w:rPr>
      <w:b/>
    </w:rPr>
  </w:style>
  <w:style w:type="paragraph" w:customStyle="1" w:styleId="NormalHanging12a">
    <w:name w:val="NormalHanging12a"/>
    <w:basedOn w:val="Normal"/>
    <w:rsid w:val="0069670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7C220C"/>
    <w:rPr>
      <w:sz w:val="24"/>
      <w:lang w:val="cs-CZ"/>
    </w:rPr>
  </w:style>
  <w:style w:type="character" w:styleId="CommentReference">
    <w:name w:val="annotation reference"/>
    <w:basedOn w:val="DefaultParagraphFont"/>
    <w:rsid w:val="0084470D"/>
    <w:rPr>
      <w:sz w:val="16"/>
      <w:szCs w:val="16"/>
    </w:rPr>
  </w:style>
  <w:style w:type="paragraph" w:styleId="CommentText">
    <w:name w:val="annotation text"/>
    <w:basedOn w:val="Normal"/>
    <w:link w:val="CommentTextChar"/>
    <w:rsid w:val="0084470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4470D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8447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4470D"/>
    <w:rPr>
      <w:b/>
      <w:bCs/>
      <w:lang w:val="cs-CZ"/>
    </w:rPr>
  </w:style>
  <w:style w:type="character" w:styleId="Hyperlink">
    <w:name w:val="Hyperlink"/>
    <w:basedOn w:val="DefaultParagraphFont"/>
    <w:rsid w:val="00BB3D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270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HILL Romana</cp:lastModifiedBy>
  <cp:revision>2</cp:revision>
  <cp:lastPrinted>2004-11-19T15:42:00Z</cp:lastPrinted>
  <dcterms:created xsi:type="dcterms:W3CDTF">2026-05-12T09:30:00Z</dcterms:created>
  <dcterms:modified xsi:type="dcterms:W3CDTF">2026-05-12T09:30:00Z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P10_TA(2026)0091_</vt:lpwstr>
  </property>
  <property fmtid="{D5CDD505-2E9C-101B-9397-08002B2CF9AE}" pid="4" name="&lt;Type&gt;">
    <vt:lpwstr>RR</vt:lpwstr>
  </property>
</Properties>
</file>