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2845" w14:paraId="52C1DA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EF7228" w14:textId="77777777" w:rsidR="00751A4A" w:rsidRPr="002E2845" w:rsidRDefault="00633857" w:rsidP="0010095E">
            <w:pPr>
              <w:pStyle w:val="EPName"/>
            </w:pPr>
            <w:r w:rsidRPr="002E2845">
              <w:t>Europa-Parlamentet</w:t>
            </w:r>
          </w:p>
          <w:p w14:paraId="64FB17CF" w14:textId="77777777" w:rsidR="00751A4A" w:rsidRPr="002E28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2845">
              <w:t>2024</w:t>
            </w:r>
            <w:r w:rsidR="00817416" w:rsidRPr="002E2845">
              <w:t>-202</w:t>
            </w:r>
            <w:r w:rsidRPr="002E2845">
              <w:t>9</w:t>
            </w:r>
          </w:p>
        </w:tc>
        <w:tc>
          <w:tcPr>
            <w:tcW w:w="2268" w:type="dxa"/>
            <w:shd w:val="clear" w:color="auto" w:fill="auto"/>
          </w:tcPr>
          <w:p w14:paraId="0FCD51A5" w14:textId="77777777" w:rsidR="00751A4A" w:rsidRPr="002E2845" w:rsidRDefault="00187494" w:rsidP="0010095E">
            <w:pPr>
              <w:pStyle w:val="EPLogo"/>
            </w:pPr>
            <w:r w:rsidRPr="002E2845">
              <w:rPr>
                <w:noProof/>
                <w:lang w:eastAsia="ja-JP"/>
              </w:rPr>
              <w:drawing>
                <wp:inline distT="0" distB="0" distL="0" distR="0" wp14:anchorId="08E86607" wp14:editId="569ED4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EACC48" w14:textId="77777777" w:rsidR="00D058B8" w:rsidRPr="002E2845" w:rsidRDefault="00D058B8" w:rsidP="004C5D52">
      <w:pPr>
        <w:pStyle w:val="LineTop"/>
      </w:pPr>
    </w:p>
    <w:p w14:paraId="57ABDDAA" w14:textId="77777777" w:rsidR="00680577" w:rsidRPr="002E2845" w:rsidRDefault="00633857" w:rsidP="00680577">
      <w:pPr>
        <w:pStyle w:val="EPBodyTA1"/>
      </w:pPr>
      <w:r w:rsidRPr="002E2845">
        <w:t>VEDTAGNE TEKSTER</w:t>
      </w:r>
    </w:p>
    <w:p w14:paraId="7763B82B" w14:textId="77777777" w:rsidR="00D058B8" w:rsidRPr="002E2845" w:rsidRDefault="00D058B8" w:rsidP="00D058B8">
      <w:pPr>
        <w:pStyle w:val="LineBottom"/>
      </w:pPr>
    </w:p>
    <w:p w14:paraId="479D3BA9" w14:textId="72A6F839" w:rsidR="00633857" w:rsidRPr="002E2845" w:rsidRDefault="00633857" w:rsidP="00633857">
      <w:pPr>
        <w:pStyle w:val="ATHeading1"/>
      </w:pPr>
      <w:bookmarkStart w:id="0" w:name="TANumber"/>
      <w:r w:rsidRPr="002E2845">
        <w:t>P10_</w:t>
      </w:r>
      <w:proofErr w:type="gramStart"/>
      <w:r w:rsidRPr="002E2845">
        <w:t>TA(</w:t>
      </w:r>
      <w:proofErr w:type="gramEnd"/>
      <w:r w:rsidRPr="002E2845">
        <w:t>2026)00</w:t>
      </w:r>
      <w:bookmarkEnd w:id="0"/>
      <w:r w:rsidR="002C0436">
        <w:t>92</w:t>
      </w:r>
    </w:p>
    <w:p w14:paraId="7606ADEA" w14:textId="735E6603" w:rsidR="00633857" w:rsidRPr="002E2845" w:rsidRDefault="008E7D09" w:rsidP="008E7D09">
      <w:pPr>
        <w:pStyle w:val="ATHeading2"/>
      </w:pPr>
      <w:r w:rsidRPr="009C11EB">
        <w:rPr>
          <w:bCs/>
        </w:rPr>
        <w:t>Foranstaltninger til tidlig indgriben, betingelser for afvikling og finansiering af</w:t>
      </w:r>
      <w:r>
        <w:rPr>
          <w:bCs/>
        </w:rPr>
        <w:t xml:space="preserve"> </w:t>
      </w:r>
      <w:r w:rsidRPr="009C11EB">
        <w:rPr>
          <w:bCs/>
        </w:rPr>
        <w:t>afviklingsforanstaltninger (SRMR3)</w:t>
      </w:r>
    </w:p>
    <w:p w14:paraId="794ADCF2" w14:textId="77777777" w:rsidR="00633857" w:rsidRPr="002E2845" w:rsidRDefault="00633857" w:rsidP="00633857">
      <w:pPr>
        <w:rPr>
          <w:i/>
          <w:vanish/>
        </w:rPr>
      </w:pPr>
      <w:r w:rsidRPr="002E2845">
        <w:rPr>
          <w:i/>
        </w:rPr>
        <w:fldChar w:fldCharType="begin"/>
      </w:r>
      <w:r w:rsidRPr="002E2845">
        <w:rPr>
          <w:i/>
        </w:rPr>
        <w:instrText xml:space="preserve"> TC"(</w:instrText>
      </w:r>
      <w:bookmarkStart w:id="1" w:name="DocNumber"/>
      <w:r w:rsidRPr="002E2845">
        <w:rPr>
          <w:i/>
        </w:rPr>
        <w:instrText>A10-0067/2026</w:instrText>
      </w:r>
      <w:bookmarkEnd w:id="1"/>
      <w:r w:rsidRPr="002E2845">
        <w:rPr>
          <w:i/>
        </w:rPr>
        <w:instrText xml:space="preserve"> - Ordfører: Irene </w:instrText>
      </w:r>
      <w:proofErr w:type="spellStart"/>
      <w:r w:rsidRPr="002E2845">
        <w:rPr>
          <w:i/>
        </w:rPr>
        <w:instrText>Tinagli</w:instrText>
      </w:r>
      <w:proofErr w:type="spellEnd"/>
      <w:r w:rsidRPr="002E2845">
        <w:rPr>
          <w:i/>
        </w:rPr>
        <w:instrText xml:space="preserve">)"\l3 \n&gt; \* MERGEFORMAT </w:instrText>
      </w:r>
      <w:r w:rsidRPr="002E2845">
        <w:rPr>
          <w:i/>
        </w:rPr>
        <w:fldChar w:fldCharType="end"/>
      </w:r>
    </w:p>
    <w:p w14:paraId="480B2254" w14:textId="77777777" w:rsidR="00633857" w:rsidRPr="002E2845" w:rsidRDefault="00633857" w:rsidP="00633857">
      <w:pPr>
        <w:rPr>
          <w:vanish/>
        </w:rPr>
      </w:pPr>
      <w:bookmarkStart w:id="2" w:name="Commission"/>
      <w:r w:rsidRPr="002E2845">
        <w:rPr>
          <w:vanish/>
        </w:rPr>
        <w:t>Økonomi- og Valutaudvalget</w:t>
      </w:r>
      <w:bookmarkEnd w:id="2"/>
    </w:p>
    <w:p w14:paraId="6E30D870" w14:textId="77777777" w:rsidR="00633857" w:rsidRPr="002E2845" w:rsidRDefault="00633857" w:rsidP="00633857">
      <w:pPr>
        <w:rPr>
          <w:vanish/>
        </w:rPr>
      </w:pPr>
      <w:bookmarkStart w:id="3" w:name="PE"/>
      <w:r w:rsidRPr="002E2845">
        <w:rPr>
          <w:vanish/>
        </w:rPr>
        <w:t>PE784.265</w:t>
      </w:r>
      <w:bookmarkEnd w:id="3"/>
    </w:p>
    <w:p w14:paraId="62EC3E6A" w14:textId="218EC65E" w:rsidR="00633857" w:rsidRPr="002E2845" w:rsidRDefault="00633857" w:rsidP="00633857">
      <w:pPr>
        <w:pStyle w:val="ATHeading3"/>
      </w:pPr>
      <w:bookmarkStart w:id="4" w:name="Sujet"/>
      <w:r w:rsidRPr="002E2845">
        <w:t xml:space="preserve">Europa-Parlamentets lovgivningsmæssige beslutning af </w:t>
      </w:r>
      <w:r w:rsidR="008E7D09">
        <w:t>26. marts</w:t>
      </w:r>
      <w:r w:rsidRPr="002E2845">
        <w:t xml:space="preserve"> 2026 om Rådets førstebehandlingsholdning med henblik på vedtagelse af Europa-Parlamentets og Rådets forordning om ændring af forordning (EU) nr. 806/2014 for så vidt angår foranstaltninger til tidlig indgriben, betingelser for afvikling og finansiering af afviklingsforanstaltninger</w:t>
      </w:r>
      <w:bookmarkEnd w:id="4"/>
      <w:r w:rsidRPr="002E2845">
        <w:t xml:space="preserve"> </w:t>
      </w:r>
      <w:bookmarkStart w:id="5" w:name="References"/>
      <w:r w:rsidRPr="002E2845">
        <w:t>(15389/1/25 – C10-0072/2026 – 2023/0111(COD))</w:t>
      </w:r>
      <w:bookmarkEnd w:id="5"/>
    </w:p>
    <w:p w14:paraId="087B970E" w14:textId="77777777" w:rsidR="00D86732" w:rsidRPr="002E2845" w:rsidRDefault="00D86732" w:rsidP="00D86732">
      <w:pPr>
        <w:pStyle w:val="NormalBold"/>
      </w:pPr>
      <w:r w:rsidRPr="002E2845">
        <w:t>(Almindelig lovgivningsprocedure: andenbehandling)</w:t>
      </w:r>
    </w:p>
    <w:p w14:paraId="085EA445" w14:textId="77777777" w:rsidR="00D86732" w:rsidRPr="002E2845" w:rsidRDefault="00D86732" w:rsidP="00D86732">
      <w:pPr>
        <w:pStyle w:val="EPComma"/>
      </w:pPr>
      <w:r w:rsidRPr="002E2845">
        <w:rPr>
          <w:i/>
          <w:iCs/>
        </w:rPr>
        <w:t>Europa-Parlamentet,</w:t>
      </w:r>
    </w:p>
    <w:p w14:paraId="31D096AD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 Rådets førstebehandlingsholdning (15389/1/25 – C10-0072/2026),</w:t>
      </w:r>
    </w:p>
    <w:p w14:paraId="2A3139C0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 udtalelse af 5. juli 2023 fra Den Europæiske Centralbank</w:t>
      </w:r>
      <w:r w:rsidRPr="002E2845">
        <w:rPr>
          <w:vertAlign w:val="superscript"/>
        </w:rPr>
        <w:footnoteReference w:id="1"/>
      </w:r>
      <w:r w:rsidRPr="002E2845">
        <w:t>,</w:t>
      </w:r>
    </w:p>
    <w:p w14:paraId="3D81387E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 udtalelse af 13. juli 2023 fra Det Europæiske Økonomiske og Sociale Udvalg</w:t>
      </w:r>
      <w:r w:rsidRPr="002E2845">
        <w:rPr>
          <w:bCs/>
          <w:vertAlign w:val="superscript"/>
        </w:rPr>
        <w:footnoteReference w:id="2"/>
      </w:r>
      <w:r w:rsidRPr="002E2845">
        <w:t>,</w:t>
      </w:r>
    </w:p>
    <w:p w14:paraId="21610707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 sin holdning ved førstebehandling</w:t>
      </w:r>
      <w:r w:rsidRPr="002E2845">
        <w:rPr>
          <w:rStyle w:val="FootnoteReference"/>
        </w:rPr>
        <w:footnoteReference w:id="3"/>
      </w:r>
      <w:r w:rsidRPr="002E2845">
        <w:t xml:space="preserve"> til Kommissionens forslag til Europa-Parlamentet og Rådet (</w:t>
      </w:r>
      <w:proofErr w:type="gramStart"/>
      <w:r w:rsidRPr="002E2845">
        <w:t>COM(</w:t>
      </w:r>
      <w:proofErr w:type="gramEnd"/>
      <w:r w:rsidRPr="002E2845">
        <w:t>2023)0226),</w:t>
      </w:r>
    </w:p>
    <w:p w14:paraId="22575570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 artikel 294, stk. 7, i traktaten om Den Europæiske Unions funktionsmåde,</w:t>
      </w:r>
    </w:p>
    <w:p w14:paraId="0B755E84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til, at det kompetente udvalg har godkendt den foreløbige aftale i henhold til forretningsordenens artikel 75, stk. 4,</w:t>
      </w:r>
    </w:p>
    <w:p w14:paraId="30B7A39A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 forretningsordenens artikel 68,</w:t>
      </w:r>
    </w:p>
    <w:p w14:paraId="100C26E3" w14:textId="77777777" w:rsidR="00D86732" w:rsidRPr="002E2845" w:rsidRDefault="00D86732" w:rsidP="00D86732">
      <w:pPr>
        <w:pStyle w:val="NormalHanging12a"/>
      </w:pPr>
      <w:r w:rsidRPr="002E2845">
        <w:t>–</w:t>
      </w:r>
      <w:r w:rsidRPr="002E2845">
        <w:tab/>
        <w:t>der henviser til indstilling ved andenbehandling fra Økonomi- og Valutaudvalget (A10-</w:t>
      </w:r>
      <w:r w:rsidRPr="002E2845">
        <w:lastRenderedPageBreak/>
        <w:t>0067/2026),</w:t>
      </w:r>
    </w:p>
    <w:p w14:paraId="3D3C8112" w14:textId="77777777" w:rsidR="00D86732" w:rsidRPr="002E2845" w:rsidRDefault="00D86732" w:rsidP="00D86732">
      <w:pPr>
        <w:pStyle w:val="NormalHanging12a"/>
      </w:pPr>
      <w:r w:rsidRPr="002E2845">
        <w:t>1.</w:t>
      </w:r>
      <w:r w:rsidRPr="002E2845">
        <w:tab/>
        <w:t>godkender Rådets førstebehandlingsholdning;</w:t>
      </w:r>
    </w:p>
    <w:p w14:paraId="553068A1" w14:textId="77777777" w:rsidR="00D86732" w:rsidRPr="002E2845" w:rsidRDefault="00D86732" w:rsidP="00D86732">
      <w:pPr>
        <w:pStyle w:val="NormalHanging12a"/>
      </w:pPr>
      <w:r w:rsidRPr="002E2845">
        <w:t>2.</w:t>
      </w:r>
      <w:r w:rsidRPr="002E2845">
        <w:tab/>
        <w:t>konstaterer, at retsakten er vedtaget i overensstemmelse med Rådets holdning;</w:t>
      </w:r>
    </w:p>
    <w:p w14:paraId="3D2AC134" w14:textId="77777777" w:rsidR="00D86732" w:rsidRPr="002E2845" w:rsidRDefault="00D86732" w:rsidP="00D86732">
      <w:pPr>
        <w:pStyle w:val="NormalHanging12a"/>
      </w:pPr>
      <w:r w:rsidRPr="002E2845">
        <w:t>3.</w:t>
      </w:r>
      <w:r w:rsidRPr="002E2845">
        <w:tab/>
        <w:t>pålægger sin formand sammen med Rådets formand at undertegne retsakten, jf. artikel 297, stk. 1, i traktaten om Den Europæiske Unions funktionsmåde;</w:t>
      </w:r>
    </w:p>
    <w:p w14:paraId="2C42C421" w14:textId="77777777" w:rsidR="00D86732" w:rsidRPr="002E2845" w:rsidRDefault="00D86732" w:rsidP="00D86732">
      <w:pPr>
        <w:pStyle w:val="NormalHanging12a"/>
      </w:pPr>
      <w:r w:rsidRPr="002E2845">
        <w:t>4.</w:t>
      </w:r>
      <w:r w:rsidRPr="002E2845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2E2845">
        <w:rPr>
          <w:i/>
        </w:rPr>
        <w:t>Den Europæiske Unions Tidende</w:t>
      </w:r>
      <w:r w:rsidRPr="002E2845">
        <w:t>;</w:t>
      </w:r>
    </w:p>
    <w:p w14:paraId="731F1D24" w14:textId="242E60A8" w:rsidR="00E365E1" w:rsidRPr="002E2845" w:rsidRDefault="00D86732" w:rsidP="008E7D09">
      <w:pPr>
        <w:pStyle w:val="NormalHanging12a"/>
      </w:pPr>
      <w:r w:rsidRPr="002E2845">
        <w:t>5.</w:t>
      </w:r>
      <w:r w:rsidRPr="002E2845">
        <w:tab/>
        <w:t>pålægger sin formand at sende Parlamentets holdning til Rådet og Kommissionen samt til de nationale parlamenter.</w:t>
      </w:r>
    </w:p>
    <w:sectPr w:rsidR="00E365E1" w:rsidRPr="002E2845" w:rsidSect="002E28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3033F" w14:textId="77777777" w:rsidR="00633857" w:rsidRPr="002E2845" w:rsidRDefault="00633857">
      <w:r w:rsidRPr="002E2845">
        <w:separator/>
      </w:r>
    </w:p>
  </w:endnote>
  <w:endnote w:type="continuationSeparator" w:id="0">
    <w:p w14:paraId="55E04331" w14:textId="77777777" w:rsidR="00633857" w:rsidRPr="002E2845" w:rsidRDefault="00633857">
      <w:r w:rsidRPr="002E28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9F84" w14:textId="77777777" w:rsidR="00064002" w:rsidRPr="002E28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46D11" w14:textId="77777777" w:rsidR="00064002" w:rsidRPr="002E28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93F4" w14:textId="77777777" w:rsidR="00064002" w:rsidRPr="002E28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080F1" w14:textId="77777777" w:rsidR="00633857" w:rsidRPr="002E2845" w:rsidRDefault="00633857">
      <w:r w:rsidRPr="002E2845">
        <w:separator/>
      </w:r>
    </w:p>
  </w:footnote>
  <w:footnote w:type="continuationSeparator" w:id="0">
    <w:p w14:paraId="10E2A8AC" w14:textId="77777777" w:rsidR="00633857" w:rsidRPr="002E2845" w:rsidRDefault="00633857">
      <w:r w:rsidRPr="002E2845">
        <w:continuationSeparator/>
      </w:r>
    </w:p>
  </w:footnote>
  <w:footnote w:id="1">
    <w:p w14:paraId="358022BE" w14:textId="67A2AD0C" w:rsidR="00D86732" w:rsidRPr="002E2845" w:rsidRDefault="00D86732" w:rsidP="002E2845">
      <w:pPr>
        <w:pStyle w:val="FootnoteText"/>
        <w:ind w:left="567" w:hanging="567"/>
        <w:rPr>
          <w:b/>
          <w:bCs/>
          <w:sz w:val="24"/>
          <w:lang w:val="da-DK"/>
        </w:rPr>
      </w:pPr>
      <w:r w:rsidRPr="002E2845">
        <w:rPr>
          <w:rStyle w:val="FootnoteReference"/>
          <w:sz w:val="24"/>
          <w:lang w:val="da-DK"/>
        </w:rPr>
        <w:footnoteRef/>
      </w:r>
      <w:r w:rsidR="002E2845" w:rsidRPr="002E2845">
        <w:rPr>
          <w:sz w:val="24"/>
          <w:lang w:val="da-DK"/>
        </w:rPr>
        <w:t xml:space="preserve"> </w:t>
      </w:r>
      <w:r w:rsidR="002E2845" w:rsidRPr="002E2845">
        <w:rPr>
          <w:sz w:val="24"/>
          <w:lang w:val="da-DK"/>
        </w:rPr>
        <w:tab/>
      </w:r>
      <w:r w:rsidRPr="002E2845">
        <w:rPr>
          <w:sz w:val="24"/>
          <w:lang w:val="da-DK"/>
        </w:rPr>
        <w:t>EUT C 307 af 31.8.2023, s. 19.</w:t>
      </w:r>
    </w:p>
  </w:footnote>
  <w:footnote w:id="2">
    <w:p w14:paraId="0FC1A12D" w14:textId="29AB401D" w:rsidR="00D86732" w:rsidRPr="002E2845" w:rsidRDefault="00D86732" w:rsidP="002E2845">
      <w:pPr>
        <w:pStyle w:val="FootnoteText"/>
        <w:ind w:left="567" w:hanging="567"/>
        <w:rPr>
          <w:sz w:val="24"/>
          <w:lang w:val="da-DK"/>
        </w:rPr>
      </w:pPr>
      <w:r w:rsidRPr="002E2845">
        <w:rPr>
          <w:rStyle w:val="FootnoteReference"/>
          <w:sz w:val="24"/>
          <w:lang w:val="da-DK"/>
        </w:rPr>
        <w:footnoteRef/>
      </w:r>
      <w:bookmarkStart w:id="6" w:name="_Hlk212814778"/>
      <w:r w:rsidR="002E2845" w:rsidRPr="002E2845">
        <w:rPr>
          <w:sz w:val="24"/>
          <w:lang w:val="da-DK"/>
        </w:rPr>
        <w:t xml:space="preserve"> </w:t>
      </w:r>
      <w:r w:rsidR="002E2845" w:rsidRPr="002E2845">
        <w:rPr>
          <w:sz w:val="24"/>
          <w:lang w:val="da-DK"/>
        </w:rPr>
        <w:tab/>
      </w:r>
      <w:r w:rsidRPr="002E2845">
        <w:rPr>
          <w:sz w:val="24"/>
          <w:lang w:val="da-DK"/>
        </w:rPr>
        <w:t>EUT C 349 af 29.9.2023, s. 161.</w:t>
      </w:r>
      <w:bookmarkEnd w:id="6"/>
    </w:p>
  </w:footnote>
  <w:footnote w:id="3">
    <w:p w14:paraId="12510023" w14:textId="1B45B38E" w:rsidR="00D86732" w:rsidRPr="009C11EB" w:rsidRDefault="00D86732" w:rsidP="002E2845">
      <w:pPr>
        <w:pStyle w:val="FootnoteText"/>
        <w:ind w:left="567" w:hanging="567"/>
        <w:rPr>
          <w:sz w:val="24"/>
          <w:lang w:val="fi-FI"/>
        </w:rPr>
      </w:pPr>
      <w:r w:rsidRPr="002E2845">
        <w:rPr>
          <w:rStyle w:val="FootnoteReference"/>
          <w:sz w:val="24"/>
          <w:lang w:val="da-DK"/>
        </w:rPr>
        <w:footnoteRef/>
      </w:r>
      <w:r w:rsidR="002E2845" w:rsidRPr="009C11EB">
        <w:rPr>
          <w:sz w:val="24"/>
          <w:lang w:val="fi-FI"/>
        </w:rPr>
        <w:t xml:space="preserve"> </w:t>
      </w:r>
      <w:r w:rsidR="002E2845" w:rsidRPr="009C11EB">
        <w:rPr>
          <w:sz w:val="24"/>
          <w:lang w:val="fi-FI"/>
        </w:rPr>
        <w:tab/>
      </w:r>
      <w:r w:rsidR="00FA6EF8" w:rsidRPr="009C11EB">
        <w:rPr>
          <w:sz w:val="24"/>
          <w:lang w:val="fi-FI"/>
        </w:rPr>
        <w:t>EUT C, C/2025/3752, 17.9.2025, ELI: http://data.europa.eu/eli/C/2025/3752/oj</w:t>
      </w:r>
      <w:r w:rsidRPr="009C11E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B362" w14:textId="77777777" w:rsidR="00064002" w:rsidRPr="002E28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0AF6F" w14:textId="77777777" w:rsidR="00064002" w:rsidRPr="002E28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0F22" w14:textId="77777777" w:rsidR="00064002" w:rsidRPr="002E28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0613938">
    <w:abstractNumId w:val="9"/>
  </w:num>
  <w:num w:numId="2" w16cid:durableId="1389063164">
    <w:abstractNumId w:val="9"/>
  </w:num>
  <w:num w:numId="3" w16cid:durableId="1447693479">
    <w:abstractNumId w:val="7"/>
  </w:num>
  <w:num w:numId="4" w16cid:durableId="1368605853">
    <w:abstractNumId w:val="7"/>
  </w:num>
  <w:num w:numId="5" w16cid:durableId="1988582198">
    <w:abstractNumId w:val="6"/>
  </w:num>
  <w:num w:numId="6" w16cid:durableId="1378896483">
    <w:abstractNumId w:val="6"/>
  </w:num>
  <w:num w:numId="7" w16cid:durableId="1715739990">
    <w:abstractNumId w:val="5"/>
  </w:num>
  <w:num w:numId="8" w16cid:durableId="1807432150">
    <w:abstractNumId w:val="5"/>
  </w:num>
  <w:num w:numId="9" w16cid:durableId="146673391">
    <w:abstractNumId w:val="4"/>
  </w:num>
  <w:num w:numId="10" w16cid:durableId="19161279">
    <w:abstractNumId w:val="4"/>
  </w:num>
  <w:num w:numId="11" w16cid:durableId="414517275">
    <w:abstractNumId w:val="8"/>
  </w:num>
  <w:num w:numId="12" w16cid:durableId="1927301596">
    <w:abstractNumId w:val="8"/>
  </w:num>
  <w:num w:numId="13" w16cid:durableId="605618981">
    <w:abstractNumId w:val="3"/>
  </w:num>
  <w:num w:numId="14" w16cid:durableId="210848193">
    <w:abstractNumId w:val="3"/>
  </w:num>
  <w:num w:numId="15" w16cid:durableId="1716078891">
    <w:abstractNumId w:val="2"/>
  </w:num>
  <w:num w:numId="16" w16cid:durableId="620310350">
    <w:abstractNumId w:val="2"/>
  </w:num>
  <w:num w:numId="17" w16cid:durableId="1806194229">
    <w:abstractNumId w:val="1"/>
  </w:num>
  <w:num w:numId="18" w16cid:durableId="1415324324">
    <w:abstractNumId w:val="1"/>
  </w:num>
  <w:num w:numId="19" w16cid:durableId="497304324">
    <w:abstractNumId w:val="0"/>
  </w:num>
  <w:num w:numId="20" w16cid:durableId="330647712">
    <w:abstractNumId w:val="0"/>
  </w:num>
  <w:num w:numId="21" w16cid:durableId="1322074871">
    <w:abstractNumId w:val="9"/>
  </w:num>
  <w:num w:numId="22" w16cid:durableId="1896233493">
    <w:abstractNumId w:val="7"/>
  </w:num>
  <w:num w:numId="23" w16cid:durableId="1702899975">
    <w:abstractNumId w:val="6"/>
  </w:num>
  <w:num w:numId="24" w16cid:durableId="866527239">
    <w:abstractNumId w:val="5"/>
  </w:num>
  <w:num w:numId="25" w16cid:durableId="1637904684">
    <w:abstractNumId w:val="4"/>
  </w:num>
  <w:num w:numId="26" w16cid:durableId="1489708924">
    <w:abstractNumId w:val="8"/>
  </w:num>
  <w:num w:numId="27" w16cid:durableId="1177305934">
    <w:abstractNumId w:val="3"/>
  </w:num>
  <w:num w:numId="28" w16cid:durableId="195436158">
    <w:abstractNumId w:val="2"/>
  </w:num>
  <w:num w:numId="29" w16cid:durableId="192424030">
    <w:abstractNumId w:val="1"/>
  </w:num>
  <w:num w:numId="30" w16cid:durableId="539904406">
    <w:abstractNumId w:val="0"/>
  </w:num>
  <w:num w:numId="31" w16cid:durableId="2010718197">
    <w:abstractNumId w:val="9"/>
  </w:num>
  <w:num w:numId="32" w16cid:durableId="2099982522">
    <w:abstractNumId w:val="7"/>
  </w:num>
  <w:num w:numId="33" w16cid:durableId="1935285609">
    <w:abstractNumId w:val="6"/>
  </w:num>
  <w:num w:numId="34" w16cid:durableId="1922761171">
    <w:abstractNumId w:val="5"/>
  </w:num>
  <w:num w:numId="35" w16cid:durableId="1598244677">
    <w:abstractNumId w:val="4"/>
  </w:num>
  <w:num w:numId="36" w16cid:durableId="664363852">
    <w:abstractNumId w:val="8"/>
  </w:num>
  <w:num w:numId="37" w16cid:durableId="1438988847">
    <w:abstractNumId w:val="3"/>
  </w:num>
  <w:num w:numId="38" w16cid:durableId="1011571586">
    <w:abstractNumId w:val="2"/>
  </w:num>
  <w:num w:numId="39" w16cid:durableId="491718772">
    <w:abstractNumId w:val="1"/>
  </w:num>
  <w:num w:numId="40" w16cid:durableId="1086462499">
    <w:abstractNumId w:val="0"/>
  </w:num>
  <w:num w:numId="41" w16cid:durableId="520170977">
    <w:abstractNumId w:val="10"/>
  </w:num>
  <w:num w:numId="42" w16cid:durableId="756750148">
    <w:abstractNumId w:val="10"/>
  </w:num>
  <w:num w:numId="43" w16cid:durableId="1990135184">
    <w:abstractNumId w:val="10"/>
  </w:num>
  <w:num w:numId="44" w16cid:durableId="14356343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DA"/>
    <w:docVar w:name="dvnumam" w:val="0"/>
    <w:docVar w:name="dvpe" w:val="784.265"/>
    <w:docVar w:name="dvrapporteur" w:val="Ordfører: "/>
    <w:docVar w:name="dvstar" w:val="***II"/>
    <w:docVar w:name="dvtitre" w:val="Europa-Parlamentets lovgivningsmæssige beslutning af xx.xx 2026 om Rådets førstebehandlingsholdning med henblik på vedtagelse af Europa-Parlamentets og Rådets forordning om ændring af forordning (EU) nr. 806/2014 for så vidt angår foranstaltninger til tidlig indgriben, betingelser for afvikling og finansiering af afviklingsforanstaltninger(15389/1/25 – C10-0072/2026 – 2023/0111(COD))"/>
  </w:docVars>
  <w:rsids>
    <w:rsidRoot w:val="006338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5A67"/>
    <w:rsid w:val="001F32AE"/>
    <w:rsid w:val="002767FF"/>
    <w:rsid w:val="002B18FE"/>
    <w:rsid w:val="002B5493"/>
    <w:rsid w:val="002C0436"/>
    <w:rsid w:val="002E2845"/>
    <w:rsid w:val="00343214"/>
    <w:rsid w:val="00361C00"/>
    <w:rsid w:val="00395FA1"/>
    <w:rsid w:val="003D0C5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85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D09"/>
    <w:rsid w:val="00930C23"/>
    <w:rsid w:val="0093193B"/>
    <w:rsid w:val="009509D8"/>
    <w:rsid w:val="00950B64"/>
    <w:rsid w:val="00981893"/>
    <w:rsid w:val="009C11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732"/>
    <w:rsid w:val="00D872DF"/>
    <w:rsid w:val="00D91E21"/>
    <w:rsid w:val="00DA7FCD"/>
    <w:rsid w:val="00E365E1"/>
    <w:rsid w:val="00E43954"/>
    <w:rsid w:val="00E820A4"/>
    <w:rsid w:val="00EB006A"/>
    <w:rsid w:val="00EB4772"/>
    <w:rsid w:val="00ED169E"/>
    <w:rsid w:val="00ED4235"/>
    <w:rsid w:val="00EE464D"/>
    <w:rsid w:val="00F04346"/>
    <w:rsid w:val="00F075DC"/>
    <w:rsid w:val="00F149E9"/>
    <w:rsid w:val="00F5134D"/>
    <w:rsid w:val="00F74202"/>
    <w:rsid w:val="00F87713"/>
    <w:rsid w:val="00FA6EF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4DB9A"/>
  <w15:chartTrackingRefBased/>
  <w15:docId w15:val="{46A1CF6C-3C7A-4508-A4E8-C56A9C61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6732"/>
    <w:pPr>
      <w:spacing w:before="480" w:after="240"/>
    </w:pPr>
  </w:style>
  <w:style w:type="paragraph" w:customStyle="1" w:styleId="NormalBold">
    <w:name w:val="NormalBold"/>
    <w:basedOn w:val="Normal"/>
    <w:rsid w:val="00D86732"/>
    <w:rPr>
      <w:b/>
    </w:rPr>
  </w:style>
  <w:style w:type="paragraph" w:customStyle="1" w:styleId="NormalHanging12a">
    <w:name w:val="NormalHanging12a"/>
    <w:basedOn w:val="Normal"/>
    <w:rsid w:val="00D8673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E7D09"/>
    <w:rPr>
      <w:sz w:val="24"/>
      <w:lang w:val="da-DK"/>
    </w:rPr>
  </w:style>
  <w:style w:type="character" w:styleId="CommentReference">
    <w:name w:val="annotation reference"/>
    <w:basedOn w:val="DefaultParagraphFont"/>
    <w:rsid w:val="008E7D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7D0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7D0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E7D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7D09"/>
    <w:rPr>
      <w:b/>
      <w:bCs/>
      <w:lang w:val="da-DK"/>
    </w:rPr>
  </w:style>
  <w:style w:type="character" w:styleId="Hyperlink">
    <w:name w:val="Hyperlink"/>
    <w:basedOn w:val="DefaultParagraphFont"/>
    <w:rsid w:val="001D5A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4</cp:revision>
  <cp:lastPrinted>2004-11-19T15:42:00Z</cp:lastPrinted>
  <dcterms:created xsi:type="dcterms:W3CDTF">2026-03-24T13:49:00Z</dcterms:created>
  <dcterms:modified xsi:type="dcterms:W3CDTF">2026-03-26T10:24:00Z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