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96460" w14:paraId="51B765CA" w14:textId="77777777" w:rsidTr="0010095E">
        <w:trPr>
          <w:trHeight w:hRule="exact" w:val="1418"/>
        </w:trPr>
        <w:tc>
          <w:tcPr>
            <w:tcW w:w="6804" w:type="dxa"/>
            <w:shd w:val="clear" w:color="auto" w:fill="auto"/>
            <w:vAlign w:val="center"/>
          </w:tcPr>
          <w:p w14:paraId="0C6C635E" w14:textId="77777777" w:rsidR="00751A4A" w:rsidRPr="00B96460" w:rsidRDefault="001946CD" w:rsidP="0010095E">
            <w:pPr>
              <w:pStyle w:val="EPName"/>
            </w:pPr>
            <w:r w:rsidRPr="00B96460">
              <w:t>Europäisches Parlament</w:t>
            </w:r>
          </w:p>
          <w:p w14:paraId="352CD18F" w14:textId="77777777" w:rsidR="00751A4A" w:rsidRPr="00B96460" w:rsidRDefault="005F1B17" w:rsidP="005F1B17">
            <w:pPr>
              <w:pStyle w:val="EPTerm"/>
              <w:rPr>
                <w:rStyle w:val="HideTWBExt"/>
                <w:noProof w:val="0"/>
                <w:vanish w:val="0"/>
                <w:color w:val="auto"/>
              </w:rPr>
            </w:pPr>
            <w:r w:rsidRPr="00B96460">
              <w:t>2024</w:t>
            </w:r>
            <w:r w:rsidR="00817416" w:rsidRPr="00B96460">
              <w:t>-202</w:t>
            </w:r>
            <w:r w:rsidRPr="00B96460">
              <w:t>9</w:t>
            </w:r>
          </w:p>
        </w:tc>
        <w:tc>
          <w:tcPr>
            <w:tcW w:w="2268" w:type="dxa"/>
            <w:shd w:val="clear" w:color="auto" w:fill="auto"/>
          </w:tcPr>
          <w:p w14:paraId="13702E92" w14:textId="77777777" w:rsidR="00751A4A" w:rsidRPr="00B96460" w:rsidRDefault="00187494" w:rsidP="0010095E">
            <w:pPr>
              <w:pStyle w:val="EPLogo"/>
            </w:pPr>
            <w:r w:rsidRPr="00B96460">
              <w:rPr>
                <w:noProof/>
                <w:lang w:eastAsia="ja-JP"/>
              </w:rPr>
              <w:drawing>
                <wp:inline distT="0" distB="0" distL="0" distR="0" wp14:anchorId="531F55B1" wp14:editId="74273D7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3C8CC8E" w14:textId="77777777" w:rsidR="00D058B8" w:rsidRPr="00B96460" w:rsidRDefault="00D058B8" w:rsidP="004C5D52">
      <w:pPr>
        <w:pStyle w:val="LineTop"/>
      </w:pPr>
    </w:p>
    <w:p w14:paraId="495C12B7" w14:textId="77777777" w:rsidR="00680577" w:rsidRPr="00B96460" w:rsidRDefault="001946CD" w:rsidP="00680577">
      <w:pPr>
        <w:pStyle w:val="EPBodyTA1"/>
      </w:pPr>
      <w:r w:rsidRPr="00B96460">
        <w:t>ANGENOMMENE TEXTE</w:t>
      </w:r>
    </w:p>
    <w:p w14:paraId="6C46D9FC" w14:textId="77777777" w:rsidR="00D058B8" w:rsidRPr="00B96460" w:rsidRDefault="00D058B8" w:rsidP="00D058B8">
      <w:pPr>
        <w:pStyle w:val="LineBottom"/>
      </w:pPr>
    </w:p>
    <w:p w14:paraId="75257AC6" w14:textId="18250BEB" w:rsidR="001946CD" w:rsidRPr="00B96460" w:rsidRDefault="001946CD" w:rsidP="001946CD">
      <w:pPr>
        <w:pStyle w:val="ATHeading1"/>
      </w:pPr>
      <w:bookmarkStart w:id="0" w:name="TANumber"/>
      <w:r w:rsidRPr="00B96460">
        <w:t>P10_</w:t>
      </w:r>
      <w:proofErr w:type="gramStart"/>
      <w:r w:rsidRPr="00B96460">
        <w:t>TA(</w:t>
      </w:r>
      <w:proofErr w:type="gramEnd"/>
      <w:r w:rsidRPr="00B96460">
        <w:t>2026)00</w:t>
      </w:r>
      <w:bookmarkEnd w:id="0"/>
      <w:r w:rsidR="00016B5F" w:rsidRPr="00B96460">
        <w:t>92</w:t>
      </w:r>
    </w:p>
    <w:p w14:paraId="39E4033A" w14:textId="77777777" w:rsidR="001946CD" w:rsidRPr="00B96460" w:rsidRDefault="001946CD" w:rsidP="001946CD">
      <w:pPr>
        <w:pStyle w:val="ATHeading2"/>
      </w:pPr>
      <w:bookmarkStart w:id="1" w:name="title"/>
      <w:r w:rsidRPr="00B96460">
        <w:t>Frühinterventionsmaßnahmen, Abwicklungsvoraussetzungen und die Finanzierung von Abwicklungsmaßnahmen (SRMR3)</w:t>
      </w:r>
      <w:bookmarkEnd w:id="1"/>
    </w:p>
    <w:p w14:paraId="7B5CA74D" w14:textId="77777777" w:rsidR="001946CD" w:rsidRPr="00B96460" w:rsidRDefault="001946CD" w:rsidP="001946CD">
      <w:pPr>
        <w:rPr>
          <w:i/>
          <w:vanish/>
        </w:rPr>
      </w:pPr>
      <w:r w:rsidRPr="00B96460">
        <w:rPr>
          <w:i/>
        </w:rPr>
        <w:fldChar w:fldCharType="begin"/>
      </w:r>
      <w:r w:rsidRPr="00B96460">
        <w:rPr>
          <w:i/>
        </w:rPr>
        <w:instrText xml:space="preserve"> TC"(</w:instrText>
      </w:r>
      <w:bookmarkStart w:id="2" w:name="DocNumber"/>
      <w:r w:rsidRPr="00B96460">
        <w:rPr>
          <w:i/>
        </w:rPr>
        <w:instrText>A10-0067/2026</w:instrText>
      </w:r>
      <w:bookmarkEnd w:id="2"/>
      <w:r w:rsidRPr="00B96460">
        <w:rPr>
          <w:i/>
        </w:rPr>
        <w:instrText xml:space="preserve"> - Berichterstatterin: Irene </w:instrText>
      </w:r>
      <w:proofErr w:type="spellStart"/>
      <w:r w:rsidRPr="00B96460">
        <w:rPr>
          <w:i/>
        </w:rPr>
        <w:instrText>Tinagli</w:instrText>
      </w:r>
      <w:proofErr w:type="spellEnd"/>
      <w:r w:rsidRPr="00B96460">
        <w:rPr>
          <w:i/>
        </w:rPr>
        <w:instrText xml:space="preserve">)"\l3 \n&gt; \* MERGEFORMAT </w:instrText>
      </w:r>
      <w:r w:rsidRPr="00B96460">
        <w:rPr>
          <w:i/>
        </w:rPr>
        <w:fldChar w:fldCharType="end"/>
      </w:r>
    </w:p>
    <w:p w14:paraId="2C8B3002" w14:textId="77777777" w:rsidR="001946CD" w:rsidRPr="00B96460" w:rsidRDefault="001946CD" w:rsidP="001946CD">
      <w:pPr>
        <w:rPr>
          <w:vanish/>
        </w:rPr>
      </w:pPr>
      <w:bookmarkStart w:id="3" w:name="Commission"/>
      <w:r w:rsidRPr="00B96460">
        <w:rPr>
          <w:vanish/>
        </w:rPr>
        <w:t>Ausschuss für Wirtschaft und Währung</w:t>
      </w:r>
      <w:bookmarkEnd w:id="3"/>
    </w:p>
    <w:p w14:paraId="72BD7A17" w14:textId="77777777" w:rsidR="001946CD" w:rsidRPr="00B96460" w:rsidRDefault="001946CD" w:rsidP="001946CD">
      <w:pPr>
        <w:rPr>
          <w:vanish/>
        </w:rPr>
      </w:pPr>
      <w:bookmarkStart w:id="4" w:name="PE"/>
      <w:r w:rsidRPr="00B96460">
        <w:rPr>
          <w:vanish/>
        </w:rPr>
        <w:t>PE784.265</w:t>
      </w:r>
      <w:bookmarkEnd w:id="4"/>
    </w:p>
    <w:p w14:paraId="6A01BB7D" w14:textId="77777777" w:rsidR="001946CD" w:rsidRPr="00B96460" w:rsidRDefault="001946CD" w:rsidP="001946CD">
      <w:pPr>
        <w:pStyle w:val="ATHeading3"/>
      </w:pPr>
      <w:bookmarkStart w:id="5" w:name="Sujet"/>
      <w:r w:rsidRPr="00B96460">
        <w:t>Legislative Entschließung des Europäischen Parlaments vom 26. März 2026 zu dem Standpunkt des Rates in erster Lesung im Hinblick auf den Erlass der Verordnung des Europäischen Parlaments und des Rates zur Änderung der Verordnung (EU) Nr. 806/2014 im Hinblick auf Frühinterventionsmaßnahmen, Abwicklungsvoraussetzungen und die Finanzierung von Abwicklungsmaßnahmen</w:t>
      </w:r>
      <w:bookmarkEnd w:id="5"/>
      <w:r w:rsidRPr="00B96460">
        <w:t xml:space="preserve"> </w:t>
      </w:r>
      <w:bookmarkStart w:id="6" w:name="References"/>
      <w:r w:rsidRPr="00B96460">
        <w:t>(15389/1/25 – C10-0072/2026 – 2023/0111(COD))</w:t>
      </w:r>
      <w:bookmarkEnd w:id="6"/>
    </w:p>
    <w:p w14:paraId="19DB9A9A" w14:textId="77777777" w:rsidR="005B4ECE" w:rsidRPr="00B96460" w:rsidRDefault="005B4ECE" w:rsidP="005B4ECE">
      <w:pPr>
        <w:pStyle w:val="NormalBold"/>
      </w:pPr>
      <w:r w:rsidRPr="00B96460">
        <w:t>(Ordentliches Gesetzgebungsverfahren: zweite Lesung)</w:t>
      </w:r>
    </w:p>
    <w:p w14:paraId="18C6B899" w14:textId="77777777" w:rsidR="005B4ECE" w:rsidRPr="00B96460" w:rsidRDefault="005B4ECE" w:rsidP="005B4ECE">
      <w:pPr>
        <w:pStyle w:val="EPComma"/>
      </w:pPr>
      <w:r w:rsidRPr="00B96460">
        <w:rPr>
          <w:i/>
        </w:rPr>
        <w:t>Das Europäische Parlament</w:t>
      </w:r>
      <w:r w:rsidRPr="00B96460">
        <w:t>,</w:t>
      </w:r>
    </w:p>
    <w:p w14:paraId="1AA49755" w14:textId="77777777" w:rsidR="005B4ECE" w:rsidRPr="00B96460" w:rsidRDefault="005B4ECE" w:rsidP="005B4ECE">
      <w:pPr>
        <w:pStyle w:val="NormalHanging12a"/>
      </w:pPr>
      <w:r w:rsidRPr="00B96460">
        <w:t>–</w:t>
      </w:r>
      <w:r w:rsidRPr="00B96460">
        <w:tab/>
        <w:t>unter Hinweis auf den Standpunkt des Rates in erster Lesung (15389/1/25 – C10‑0072/2026),</w:t>
      </w:r>
    </w:p>
    <w:p w14:paraId="374E51E0" w14:textId="77777777" w:rsidR="005B4ECE" w:rsidRPr="00B96460" w:rsidRDefault="005B4ECE" w:rsidP="005B4ECE">
      <w:pPr>
        <w:pStyle w:val="NormalHanging12a"/>
      </w:pPr>
      <w:r w:rsidRPr="00B96460">
        <w:t>–</w:t>
      </w:r>
      <w:r w:rsidRPr="00B96460">
        <w:tab/>
        <w:t>unter Hinweis auf die Stellungnahme der Europäischen Zentralbank vom 5. Juli 2023</w:t>
      </w:r>
      <w:r w:rsidRPr="00B96460">
        <w:rPr>
          <w:vertAlign w:val="superscript"/>
        </w:rPr>
        <w:footnoteReference w:id="1"/>
      </w:r>
      <w:r w:rsidRPr="00B96460">
        <w:t>,</w:t>
      </w:r>
    </w:p>
    <w:p w14:paraId="52A7C87A" w14:textId="77777777" w:rsidR="005B4ECE" w:rsidRPr="00B96460" w:rsidRDefault="005B4ECE" w:rsidP="005B4ECE">
      <w:pPr>
        <w:pStyle w:val="NormalHanging12a"/>
      </w:pPr>
      <w:r w:rsidRPr="00B96460">
        <w:t>–</w:t>
      </w:r>
      <w:r w:rsidRPr="00B96460">
        <w:tab/>
        <w:t>unter Hinweis auf die Stellungnahme des Europäischen Wirtschafts- und Sozialausschusses vom 13. Juli 2023</w:t>
      </w:r>
      <w:r w:rsidRPr="00B96460">
        <w:rPr>
          <w:bCs/>
          <w:vertAlign w:val="superscript"/>
        </w:rPr>
        <w:footnoteReference w:id="2"/>
      </w:r>
      <w:r w:rsidRPr="00B96460">
        <w:t>,</w:t>
      </w:r>
    </w:p>
    <w:p w14:paraId="09C2E2D0" w14:textId="77777777" w:rsidR="005B4ECE" w:rsidRPr="00B96460" w:rsidRDefault="005B4ECE" w:rsidP="005B4ECE">
      <w:pPr>
        <w:pStyle w:val="NormalHanging12a"/>
      </w:pPr>
      <w:r w:rsidRPr="00B96460">
        <w:t>–</w:t>
      </w:r>
      <w:r w:rsidRPr="00B96460">
        <w:tab/>
        <w:t>unter Hinweis auf seinen Standpunkt in erster Lesung</w:t>
      </w:r>
      <w:r w:rsidRPr="00B96460">
        <w:rPr>
          <w:rStyle w:val="FootnoteReference"/>
        </w:rPr>
        <w:footnoteReference w:id="3"/>
      </w:r>
      <w:r w:rsidRPr="00B96460">
        <w:t xml:space="preserve"> zu dem Vorschlag der Kommission an das Europäische Parlament und den Rat (</w:t>
      </w:r>
      <w:proofErr w:type="gramStart"/>
      <w:r w:rsidRPr="00B96460">
        <w:t>COM(</w:t>
      </w:r>
      <w:proofErr w:type="gramEnd"/>
      <w:r w:rsidRPr="00B96460">
        <w:t>2023)0226),</w:t>
      </w:r>
    </w:p>
    <w:p w14:paraId="14840E05" w14:textId="77777777" w:rsidR="005B4ECE" w:rsidRPr="00B96460" w:rsidRDefault="005B4ECE" w:rsidP="005B4ECE">
      <w:pPr>
        <w:pStyle w:val="NormalHanging12a"/>
      </w:pPr>
      <w:r w:rsidRPr="00B96460">
        <w:t>–</w:t>
      </w:r>
      <w:r w:rsidRPr="00B96460">
        <w:tab/>
        <w:t>gestützt auf Artikel 294 Absatz 7 des Vertrags über die Arbeitsweise der Europäischen Union,</w:t>
      </w:r>
    </w:p>
    <w:p w14:paraId="291AA218" w14:textId="77777777" w:rsidR="005B4ECE" w:rsidRPr="00B96460" w:rsidRDefault="005B4ECE" w:rsidP="005B4ECE">
      <w:pPr>
        <w:pStyle w:val="NormalHanging12a"/>
      </w:pPr>
      <w:r w:rsidRPr="00B96460">
        <w:t>–</w:t>
      </w:r>
      <w:r w:rsidRPr="00B96460">
        <w:tab/>
        <w:t>unter Hinweis auf die vorläufige Einigung, die gemäß Artikel 75 Absatz 4 seiner Geschäftsordnung vom zuständigen Ausschuss angenommen wurde,</w:t>
      </w:r>
    </w:p>
    <w:p w14:paraId="7DC9491C" w14:textId="77777777" w:rsidR="005B4ECE" w:rsidRPr="00B96460" w:rsidRDefault="005B4ECE" w:rsidP="005B4ECE">
      <w:pPr>
        <w:pStyle w:val="NormalHanging12a"/>
      </w:pPr>
      <w:r w:rsidRPr="00B96460">
        <w:t>–</w:t>
      </w:r>
      <w:r w:rsidRPr="00B96460">
        <w:tab/>
        <w:t>gestützt auf Artikel 68 seiner Geschäftsordnung,</w:t>
      </w:r>
    </w:p>
    <w:p w14:paraId="2E06A192" w14:textId="77777777" w:rsidR="005B4ECE" w:rsidRPr="00B96460" w:rsidRDefault="005B4ECE" w:rsidP="005B4ECE">
      <w:pPr>
        <w:pStyle w:val="NormalHanging12a"/>
      </w:pPr>
      <w:r w:rsidRPr="00B96460">
        <w:lastRenderedPageBreak/>
        <w:t>–</w:t>
      </w:r>
      <w:r w:rsidRPr="00B96460">
        <w:tab/>
        <w:t>unter Hinweis auf die Empfehlung des Ausschusses für Wirtschaft und Währung für die zweite Lesung (A10‑0067/2026),</w:t>
      </w:r>
    </w:p>
    <w:p w14:paraId="4F71352E" w14:textId="77777777" w:rsidR="005B4ECE" w:rsidRPr="00B96460" w:rsidRDefault="005B4ECE" w:rsidP="005B4ECE">
      <w:pPr>
        <w:pStyle w:val="NormalHanging12a"/>
      </w:pPr>
      <w:r w:rsidRPr="00B96460">
        <w:t>1.</w:t>
      </w:r>
      <w:r w:rsidRPr="00B96460">
        <w:tab/>
        <w:t>billigt den Standpunkt des Rates in erster Lesung;</w:t>
      </w:r>
    </w:p>
    <w:p w14:paraId="45120911" w14:textId="77777777" w:rsidR="005B4ECE" w:rsidRPr="00B96460" w:rsidRDefault="005B4ECE" w:rsidP="005B4ECE">
      <w:pPr>
        <w:pStyle w:val="NormalHanging12a"/>
      </w:pPr>
      <w:r w:rsidRPr="00B96460">
        <w:t>2.</w:t>
      </w:r>
      <w:r w:rsidRPr="00B96460">
        <w:tab/>
        <w:t>stellt fest, dass der Gesetzgebungsakt entsprechend dem Standpunkt des Rates erlassen wird;</w:t>
      </w:r>
    </w:p>
    <w:p w14:paraId="5FF2A578" w14:textId="77777777" w:rsidR="005B4ECE" w:rsidRPr="00B96460" w:rsidRDefault="005B4ECE" w:rsidP="005B4ECE">
      <w:pPr>
        <w:pStyle w:val="NormalHanging12a"/>
      </w:pPr>
      <w:r w:rsidRPr="00B96460">
        <w:t>3.</w:t>
      </w:r>
      <w:r w:rsidRPr="00B96460">
        <w:tab/>
        <w:t>beauftragt seine Präsidentin, den Gesetzgebungsakt mit dem Präsidenten des Rates gemäß Artikel 297 Absatz 1 des Vertrags über die Arbeitsweise der Europäischen Union zu unterzeichnen;</w:t>
      </w:r>
    </w:p>
    <w:p w14:paraId="7AC2D3B1" w14:textId="77777777" w:rsidR="005B4ECE" w:rsidRPr="00B96460" w:rsidRDefault="005B4ECE" w:rsidP="005B4ECE">
      <w:pPr>
        <w:pStyle w:val="NormalHanging12a"/>
      </w:pPr>
      <w:r w:rsidRPr="00B96460">
        <w:t>4.</w:t>
      </w:r>
      <w:r w:rsidRPr="00B96460">
        <w:tab/>
        <w:t xml:space="preserve">beauftragt seinen Generalsekretär, den Gesetzgebungsakt zu unterzeichnen, nachdem überprüft worden ist, dass alle Verfahren ordnungsgemäß abgeschlossen worden sind, und im Einvernehmen mit der Generalsekretärin des Rates die Veröffentlichung des Gesetzgebungsakts im </w:t>
      </w:r>
      <w:r w:rsidRPr="00B96460">
        <w:rPr>
          <w:i/>
          <w:iCs/>
        </w:rPr>
        <w:t>Amtsblatt der Europäischen Union</w:t>
      </w:r>
      <w:r w:rsidRPr="00B96460">
        <w:t xml:space="preserve"> zu veranlassen;</w:t>
      </w:r>
    </w:p>
    <w:p w14:paraId="4D1DB5A4" w14:textId="5C8A5B08" w:rsidR="00E365E1" w:rsidRPr="00B96460" w:rsidRDefault="005B4ECE" w:rsidP="0067568A">
      <w:pPr>
        <w:pStyle w:val="NormalHanging12a"/>
      </w:pPr>
      <w:r w:rsidRPr="00B96460">
        <w:t>5.</w:t>
      </w:r>
      <w:r w:rsidRPr="00B96460">
        <w:tab/>
        <w:t>beauftragt seine Präsidentin, den Standpunkt des Parlaments dem Rat und der Kommission sowie den nationalen Parlamenten zu übermitteln.</w:t>
      </w:r>
    </w:p>
    <w:sectPr w:rsidR="00E365E1" w:rsidRPr="00B96460" w:rsidSect="00C169A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F1B4B6" w14:textId="77777777" w:rsidR="001946CD" w:rsidRPr="00C169AE" w:rsidRDefault="001946CD">
      <w:r w:rsidRPr="00C169AE">
        <w:separator/>
      </w:r>
    </w:p>
  </w:endnote>
  <w:endnote w:type="continuationSeparator" w:id="0">
    <w:p w14:paraId="490EB3E8" w14:textId="77777777" w:rsidR="001946CD" w:rsidRPr="00C169AE" w:rsidRDefault="001946CD">
      <w:r w:rsidRPr="00C169A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0C1382" w14:textId="77777777" w:rsidR="00064002" w:rsidRPr="00C169A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16EA91" w14:textId="77777777" w:rsidR="00064002" w:rsidRPr="00C169A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DEED91" w14:textId="77777777" w:rsidR="00064002" w:rsidRPr="00C169A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200193" w14:textId="77777777" w:rsidR="001946CD" w:rsidRPr="00C169AE" w:rsidRDefault="001946CD">
      <w:r w:rsidRPr="00C169AE">
        <w:separator/>
      </w:r>
    </w:p>
  </w:footnote>
  <w:footnote w:type="continuationSeparator" w:id="0">
    <w:p w14:paraId="7F9329E5" w14:textId="77777777" w:rsidR="001946CD" w:rsidRPr="00C169AE" w:rsidRDefault="001946CD">
      <w:r w:rsidRPr="00C169AE">
        <w:continuationSeparator/>
      </w:r>
    </w:p>
  </w:footnote>
  <w:footnote w:id="1">
    <w:p w14:paraId="70452787" w14:textId="332AEEB9" w:rsidR="005B4ECE" w:rsidRPr="00C169AE" w:rsidRDefault="005B4ECE" w:rsidP="00C169AE">
      <w:pPr>
        <w:pStyle w:val="FootnoteText"/>
        <w:ind w:left="567" w:hanging="567"/>
        <w:rPr>
          <w:b/>
          <w:bCs/>
          <w:sz w:val="24"/>
          <w:lang w:val="de-DE"/>
        </w:rPr>
      </w:pPr>
      <w:r w:rsidRPr="00C169AE">
        <w:rPr>
          <w:rStyle w:val="FootnoteReference"/>
          <w:sz w:val="24"/>
          <w:lang w:val="de-DE"/>
        </w:rPr>
        <w:footnoteRef/>
      </w:r>
      <w:r w:rsidR="00C169AE" w:rsidRPr="00C169AE">
        <w:rPr>
          <w:sz w:val="24"/>
          <w:lang w:val="de-DE"/>
        </w:rPr>
        <w:t xml:space="preserve"> </w:t>
      </w:r>
      <w:r w:rsidR="00C169AE" w:rsidRPr="00C169AE">
        <w:rPr>
          <w:sz w:val="24"/>
          <w:lang w:val="de-DE"/>
        </w:rPr>
        <w:tab/>
      </w:r>
      <w:proofErr w:type="spellStart"/>
      <w:r w:rsidRPr="00C169AE">
        <w:rPr>
          <w:sz w:val="24"/>
          <w:lang w:val="de-DE"/>
        </w:rPr>
        <w:t>ABl.</w:t>
      </w:r>
      <w:proofErr w:type="spellEnd"/>
      <w:r w:rsidRPr="00C169AE">
        <w:rPr>
          <w:sz w:val="24"/>
          <w:lang w:val="de-DE"/>
        </w:rPr>
        <w:t xml:space="preserve"> C 307 vom 31.8.2023, S. 19.</w:t>
      </w:r>
    </w:p>
  </w:footnote>
  <w:footnote w:id="2">
    <w:p w14:paraId="280A4AAC" w14:textId="6B0F50CF" w:rsidR="005B4ECE" w:rsidRPr="00C169AE" w:rsidRDefault="005B4ECE" w:rsidP="00C169AE">
      <w:pPr>
        <w:pStyle w:val="FootnoteText"/>
        <w:ind w:left="567" w:hanging="567"/>
        <w:rPr>
          <w:sz w:val="24"/>
          <w:lang w:val="de-DE"/>
        </w:rPr>
      </w:pPr>
      <w:r w:rsidRPr="00C169AE">
        <w:rPr>
          <w:rStyle w:val="FootnoteReference"/>
          <w:sz w:val="24"/>
          <w:lang w:val="de-DE"/>
        </w:rPr>
        <w:footnoteRef/>
      </w:r>
      <w:bookmarkStart w:id="7" w:name="_Hlk212814778"/>
      <w:r w:rsidR="00C169AE" w:rsidRPr="00C169AE">
        <w:rPr>
          <w:sz w:val="24"/>
          <w:lang w:val="de-DE"/>
        </w:rPr>
        <w:t xml:space="preserve"> </w:t>
      </w:r>
      <w:r w:rsidR="00C169AE" w:rsidRPr="00C169AE">
        <w:rPr>
          <w:sz w:val="24"/>
          <w:lang w:val="de-DE"/>
        </w:rPr>
        <w:tab/>
      </w:r>
      <w:proofErr w:type="spellStart"/>
      <w:r w:rsidRPr="00C169AE">
        <w:rPr>
          <w:sz w:val="24"/>
          <w:lang w:val="de-DE"/>
        </w:rPr>
        <w:t>ABl.</w:t>
      </w:r>
      <w:proofErr w:type="spellEnd"/>
      <w:r w:rsidRPr="00C169AE">
        <w:rPr>
          <w:sz w:val="24"/>
          <w:lang w:val="de-DE"/>
        </w:rPr>
        <w:t xml:space="preserve"> C 349 vom 29.9.2023, S. 161.</w:t>
      </w:r>
      <w:bookmarkEnd w:id="7"/>
    </w:p>
  </w:footnote>
  <w:footnote w:id="3">
    <w:p w14:paraId="2DDF803A" w14:textId="7682CC3A" w:rsidR="005B4ECE" w:rsidRPr="00B96460" w:rsidRDefault="005B4ECE" w:rsidP="00C169AE">
      <w:pPr>
        <w:pStyle w:val="FootnoteText"/>
        <w:ind w:left="567" w:hanging="567"/>
        <w:rPr>
          <w:sz w:val="24"/>
          <w:lang w:val="fi-FI"/>
        </w:rPr>
      </w:pPr>
      <w:r w:rsidRPr="00C169AE">
        <w:rPr>
          <w:rStyle w:val="FootnoteReference"/>
          <w:sz w:val="24"/>
          <w:lang w:val="de-DE"/>
        </w:rPr>
        <w:footnoteRef/>
      </w:r>
      <w:r w:rsidR="00C169AE" w:rsidRPr="00B96460">
        <w:rPr>
          <w:sz w:val="24"/>
          <w:lang w:val="fi-FI"/>
        </w:rPr>
        <w:t xml:space="preserve"> </w:t>
      </w:r>
      <w:r w:rsidR="00C169AE" w:rsidRPr="00B96460">
        <w:rPr>
          <w:sz w:val="24"/>
          <w:lang w:val="fi-FI"/>
        </w:rPr>
        <w:tab/>
      </w:r>
      <w:proofErr w:type="spellStart"/>
      <w:r w:rsidR="0067568A" w:rsidRPr="00B96460">
        <w:rPr>
          <w:sz w:val="24"/>
          <w:lang w:val="fi-FI"/>
        </w:rPr>
        <w:t>ABl.</w:t>
      </w:r>
      <w:proofErr w:type="spellEnd"/>
      <w:r w:rsidR="0067568A" w:rsidRPr="00B96460">
        <w:rPr>
          <w:sz w:val="24"/>
          <w:lang w:val="fi-FI"/>
        </w:rPr>
        <w:t xml:space="preserve"> C, C/2025/3752, 17.9.2025, ELI: </w:t>
      </w:r>
      <w:hyperlink r:id="rId1" w:history="1">
        <w:r w:rsidR="0067568A" w:rsidRPr="00B96460">
          <w:rPr>
            <w:rStyle w:val="Hyperlink"/>
            <w:sz w:val="24"/>
            <w:lang w:val="fi-FI"/>
          </w:rPr>
          <w:t>http://data.europa.eu/eli/C/2025/3752/oj</w:t>
        </w:r>
      </w:hyperlink>
      <w:r w:rsidRPr="00B96460">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CB9D6" w14:textId="77777777" w:rsidR="00064002" w:rsidRPr="00C169A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3D34F" w14:textId="77777777" w:rsidR="00064002" w:rsidRPr="00C169A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5C6CA1" w14:textId="77777777" w:rsidR="00064002" w:rsidRPr="00C169A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1838555">
    <w:abstractNumId w:val="9"/>
  </w:num>
  <w:num w:numId="2" w16cid:durableId="385377017">
    <w:abstractNumId w:val="9"/>
  </w:num>
  <w:num w:numId="3" w16cid:durableId="1001201784">
    <w:abstractNumId w:val="7"/>
  </w:num>
  <w:num w:numId="4" w16cid:durableId="1290433951">
    <w:abstractNumId w:val="7"/>
  </w:num>
  <w:num w:numId="5" w16cid:durableId="1504275877">
    <w:abstractNumId w:val="6"/>
  </w:num>
  <w:num w:numId="6" w16cid:durableId="1104611696">
    <w:abstractNumId w:val="6"/>
  </w:num>
  <w:num w:numId="7" w16cid:durableId="1914583223">
    <w:abstractNumId w:val="5"/>
  </w:num>
  <w:num w:numId="8" w16cid:durableId="1909807474">
    <w:abstractNumId w:val="5"/>
  </w:num>
  <w:num w:numId="9" w16cid:durableId="216742631">
    <w:abstractNumId w:val="4"/>
  </w:num>
  <w:num w:numId="10" w16cid:durableId="892351077">
    <w:abstractNumId w:val="4"/>
  </w:num>
  <w:num w:numId="11" w16cid:durableId="181285669">
    <w:abstractNumId w:val="8"/>
  </w:num>
  <w:num w:numId="12" w16cid:durableId="42485224">
    <w:abstractNumId w:val="8"/>
  </w:num>
  <w:num w:numId="13" w16cid:durableId="1951737287">
    <w:abstractNumId w:val="3"/>
  </w:num>
  <w:num w:numId="14" w16cid:durableId="401801406">
    <w:abstractNumId w:val="3"/>
  </w:num>
  <w:num w:numId="15" w16cid:durableId="1819806343">
    <w:abstractNumId w:val="2"/>
  </w:num>
  <w:num w:numId="16" w16cid:durableId="925959905">
    <w:abstractNumId w:val="2"/>
  </w:num>
  <w:num w:numId="17" w16cid:durableId="954209929">
    <w:abstractNumId w:val="1"/>
  </w:num>
  <w:num w:numId="18" w16cid:durableId="624971160">
    <w:abstractNumId w:val="1"/>
  </w:num>
  <w:num w:numId="19" w16cid:durableId="1779131204">
    <w:abstractNumId w:val="0"/>
  </w:num>
  <w:num w:numId="20" w16cid:durableId="1460954719">
    <w:abstractNumId w:val="0"/>
  </w:num>
  <w:num w:numId="21" w16cid:durableId="384567320">
    <w:abstractNumId w:val="9"/>
  </w:num>
  <w:num w:numId="22" w16cid:durableId="880750312">
    <w:abstractNumId w:val="7"/>
  </w:num>
  <w:num w:numId="23" w16cid:durableId="1835872950">
    <w:abstractNumId w:val="6"/>
  </w:num>
  <w:num w:numId="24" w16cid:durableId="132598172">
    <w:abstractNumId w:val="5"/>
  </w:num>
  <w:num w:numId="25" w16cid:durableId="1589578175">
    <w:abstractNumId w:val="4"/>
  </w:num>
  <w:num w:numId="26" w16cid:durableId="1918325928">
    <w:abstractNumId w:val="8"/>
  </w:num>
  <w:num w:numId="27" w16cid:durableId="1058210569">
    <w:abstractNumId w:val="3"/>
  </w:num>
  <w:num w:numId="28" w16cid:durableId="326136416">
    <w:abstractNumId w:val="2"/>
  </w:num>
  <w:num w:numId="29" w16cid:durableId="756488737">
    <w:abstractNumId w:val="1"/>
  </w:num>
  <w:num w:numId="30" w16cid:durableId="564295580">
    <w:abstractNumId w:val="0"/>
  </w:num>
  <w:num w:numId="31" w16cid:durableId="1954357116">
    <w:abstractNumId w:val="9"/>
  </w:num>
  <w:num w:numId="32" w16cid:durableId="879559955">
    <w:abstractNumId w:val="7"/>
  </w:num>
  <w:num w:numId="33" w16cid:durableId="1024401696">
    <w:abstractNumId w:val="6"/>
  </w:num>
  <w:num w:numId="34" w16cid:durableId="207764702">
    <w:abstractNumId w:val="5"/>
  </w:num>
  <w:num w:numId="35" w16cid:durableId="83694546">
    <w:abstractNumId w:val="4"/>
  </w:num>
  <w:num w:numId="36" w16cid:durableId="422722836">
    <w:abstractNumId w:val="8"/>
  </w:num>
  <w:num w:numId="37" w16cid:durableId="344793359">
    <w:abstractNumId w:val="3"/>
  </w:num>
  <w:num w:numId="38" w16cid:durableId="278345519">
    <w:abstractNumId w:val="2"/>
  </w:num>
  <w:num w:numId="39" w16cid:durableId="144514878">
    <w:abstractNumId w:val="1"/>
  </w:num>
  <w:num w:numId="40" w16cid:durableId="1517041760">
    <w:abstractNumId w:val="0"/>
  </w:num>
  <w:num w:numId="41" w16cid:durableId="293213854">
    <w:abstractNumId w:val="10"/>
  </w:num>
  <w:num w:numId="42" w16cid:durableId="1207254666">
    <w:abstractNumId w:val="10"/>
  </w:num>
  <w:num w:numId="43" w16cid:durableId="1593664235">
    <w:abstractNumId w:val="10"/>
  </w:num>
  <w:num w:numId="44" w16cid:durableId="8133675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67/2026"/>
    <w:docVar w:name="dvlangue" w:val="DE"/>
    <w:docVar w:name="dvnumam" w:val="0"/>
    <w:docVar w:name="dvpe" w:val="784.265"/>
    <w:docVar w:name="dvrapporteur" w:val="Berichterstatterin: "/>
    <w:docVar w:name="dvstar" w:val="***II"/>
    <w:docVar w:name="dvtitre" w:val="Legislative Entschließung des Europäischen Parlaments vom 26. März 2026 zu dem Standpunkt des Rates in erster Lesung im Hinblick auf den Erlass der Verordnung des Europäischen Parlaments und des Rates zur Änderung der Verordnung (EU) Nr. 806/2014 im Hinblick auf Frühinterventionsmaßnahmen, Abwicklungsvoraussetzungen und die Finanzierung von Abwicklungsmaßnahmen(15389/1/25 – C10-0072/2026 – 2023/0111(COD))"/>
  </w:docVars>
  <w:rsids>
    <w:rsidRoot w:val="001946CD"/>
    <w:rsid w:val="00002272"/>
    <w:rsid w:val="00016B5F"/>
    <w:rsid w:val="00064002"/>
    <w:rsid w:val="000677B9"/>
    <w:rsid w:val="000831BA"/>
    <w:rsid w:val="000A42CC"/>
    <w:rsid w:val="000E7DD9"/>
    <w:rsid w:val="0010095E"/>
    <w:rsid w:val="00125B37"/>
    <w:rsid w:val="00187494"/>
    <w:rsid w:val="001946CD"/>
    <w:rsid w:val="001B7A81"/>
    <w:rsid w:val="001D563F"/>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4ECE"/>
    <w:rsid w:val="005C2568"/>
    <w:rsid w:val="005F1B17"/>
    <w:rsid w:val="006037C0"/>
    <w:rsid w:val="006631B6"/>
    <w:rsid w:val="0067568A"/>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96460"/>
    <w:rsid w:val="00BD48FE"/>
    <w:rsid w:val="00BD7BD8"/>
    <w:rsid w:val="00BE6ADC"/>
    <w:rsid w:val="00C05BFE"/>
    <w:rsid w:val="00C169A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C0DBD"/>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C2A012"/>
  <w15:chartTrackingRefBased/>
  <w15:docId w15:val="{E8B2096A-DDFF-4370-8C5B-4D91AEF5B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B4ECE"/>
    <w:pPr>
      <w:spacing w:before="480" w:after="240"/>
    </w:pPr>
  </w:style>
  <w:style w:type="paragraph" w:customStyle="1" w:styleId="NormalBold">
    <w:name w:val="NormalBold"/>
    <w:basedOn w:val="Normal"/>
    <w:rsid w:val="005B4ECE"/>
    <w:rPr>
      <w:b/>
    </w:rPr>
  </w:style>
  <w:style w:type="paragraph" w:customStyle="1" w:styleId="NormalHanging12a">
    <w:name w:val="NormalHanging12a"/>
    <w:basedOn w:val="Normal"/>
    <w:rsid w:val="005B4ECE"/>
    <w:pPr>
      <w:spacing w:after="240"/>
      <w:ind w:left="567" w:hanging="567"/>
    </w:pPr>
  </w:style>
  <w:style w:type="paragraph" w:styleId="Revision">
    <w:name w:val="Revision"/>
    <w:hidden/>
    <w:uiPriority w:val="99"/>
    <w:semiHidden/>
    <w:rsid w:val="0067568A"/>
    <w:rPr>
      <w:sz w:val="24"/>
      <w:lang w:val="de-DE"/>
    </w:rPr>
  </w:style>
  <w:style w:type="character" w:styleId="CommentReference">
    <w:name w:val="annotation reference"/>
    <w:basedOn w:val="DefaultParagraphFont"/>
    <w:rsid w:val="0067568A"/>
    <w:rPr>
      <w:sz w:val="16"/>
      <w:szCs w:val="16"/>
    </w:rPr>
  </w:style>
  <w:style w:type="paragraph" w:styleId="CommentText">
    <w:name w:val="annotation text"/>
    <w:basedOn w:val="Normal"/>
    <w:link w:val="CommentTextChar"/>
    <w:rsid w:val="0067568A"/>
    <w:rPr>
      <w:sz w:val="20"/>
    </w:rPr>
  </w:style>
  <w:style w:type="character" w:customStyle="1" w:styleId="CommentTextChar">
    <w:name w:val="Comment Text Char"/>
    <w:basedOn w:val="DefaultParagraphFont"/>
    <w:link w:val="CommentText"/>
    <w:rsid w:val="0067568A"/>
    <w:rPr>
      <w:lang w:val="de-DE"/>
    </w:rPr>
  </w:style>
  <w:style w:type="paragraph" w:styleId="CommentSubject">
    <w:name w:val="annotation subject"/>
    <w:basedOn w:val="CommentText"/>
    <w:next w:val="CommentText"/>
    <w:link w:val="CommentSubjectChar"/>
    <w:rsid w:val="0067568A"/>
    <w:rPr>
      <w:b/>
      <w:bCs/>
    </w:rPr>
  </w:style>
  <w:style w:type="character" w:customStyle="1" w:styleId="CommentSubjectChar">
    <w:name w:val="Comment Subject Char"/>
    <w:basedOn w:val="CommentTextChar"/>
    <w:link w:val="CommentSubject"/>
    <w:rsid w:val="0067568A"/>
    <w:rPr>
      <w:b/>
      <w:bCs/>
      <w:lang w:val="de-DE"/>
    </w:rPr>
  </w:style>
  <w:style w:type="character" w:styleId="Hyperlink">
    <w:name w:val="Hyperlink"/>
    <w:basedOn w:val="DefaultParagraphFont"/>
    <w:rsid w:val="0067568A"/>
    <w:rPr>
      <w:color w:val="0563C1" w:themeColor="hyperlink"/>
      <w:u w:val="single"/>
    </w:rPr>
  </w:style>
  <w:style w:type="character" w:styleId="UnresolvedMention">
    <w:name w:val="Unresolved Mention"/>
    <w:basedOn w:val="DefaultParagraphFont"/>
    <w:uiPriority w:val="99"/>
    <w:semiHidden/>
    <w:unhideWhenUsed/>
    <w:rsid w:val="006756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5/37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292</Words>
  <Characters>2143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BM_EP_Start</dc:creator>
  <cp:keywords/>
  <cp:lastModifiedBy>BM_EP_Start</cp:lastModifiedBy>
  <cp:revision>3</cp:revision>
  <cp:lastPrinted>2004-11-19T15:42:00Z</cp:lastPrinted>
  <dcterms:created xsi:type="dcterms:W3CDTF">2026-03-26T10:33:00Z</dcterms:created>
  <dcterms:modified xsi:type="dcterms:W3CDTF">2026-03-26T10:34:00Z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A10-0067/2026</vt:lpwstr>
  </property>
  <property fmtid="{D5CDD505-2E9C-101B-9397-08002B2CF9AE}" pid="4" name="&lt;Type&gt;">
    <vt:lpwstr>RR</vt:lpwstr>
  </property>
</Properties>
</file>