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865" w14:paraId="0E1735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AF2B27" w14:textId="77777777" w:rsidR="00751A4A" w:rsidRPr="00C07865" w:rsidRDefault="00A66F00" w:rsidP="0010095E">
            <w:pPr>
              <w:pStyle w:val="EPName"/>
            </w:pPr>
            <w:r w:rsidRPr="00C07865">
              <w:t>Euroopa Parlament</w:t>
            </w:r>
          </w:p>
          <w:p w14:paraId="7017344F" w14:textId="77777777" w:rsidR="00751A4A" w:rsidRPr="00C078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7865">
              <w:t>2024</w:t>
            </w:r>
            <w:r w:rsidR="00817416" w:rsidRPr="00C07865">
              <w:t>-202</w:t>
            </w:r>
            <w:r w:rsidRPr="00C07865">
              <w:t>9</w:t>
            </w:r>
          </w:p>
        </w:tc>
        <w:tc>
          <w:tcPr>
            <w:tcW w:w="2268" w:type="dxa"/>
            <w:shd w:val="clear" w:color="auto" w:fill="auto"/>
          </w:tcPr>
          <w:p w14:paraId="453E9CEE" w14:textId="77777777" w:rsidR="00751A4A" w:rsidRPr="00C07865" w:rsidRDefault="00187494" w:rsidP="0010095E">
            <w:pPr>
              <w:pStyle w:val="EPLogo"/>
            </w:pPr>
            <w:r w:rsidRPr="00C07865">
              <w:rPr>
                <w:noProof/>
                <w:lang w:eastAsia="ja-JP"/>
              </w:rPr>
              <w:drawing>
                <wp:inline distT="0" distB="0" distL="0" distR="0" wp14:anchorId="57685C8D" wp14:editId="59B35F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6842DA" w14:textId="77777777" w:rsidR="00D058B8" w:rsidRPr="00C07865" w:rsidRDefault="00D058B8" w:rsidP="004C5D52">
      <w:pPr>
        <w:pStyle w:val="LineTop"/>
      </w:pPr>
    </w:p>
    <w:p w14:paraId="59D972E5" w14:textId="77777777" w:rsidR="00680577" w:rsidRPr="00C07865" w:rsidRDefault="00A66F00" w:rsidP="00680577">
      <w:pPr>
        <w:pStyle w:val="EPBodyTA1"/>
      </w:pPr>
      <w:r w:rsidRPr="00C07865">
        <w:t>VASTUVÕETUD TEKSTID</w:t>
      </w:r>
    </w:p>
    <w:p w14:paraId="0619A2E5" w14:textId="77777777" w:rsidR="00D058B8" w:rsidRPr="00C07865" w:rsidRDefault="00D058B8" w:rsidP="00D058B8">
      <w:pPr>
        <w:pStyle w:val="LineBottom"/>
      </w:pPr>
    </w:p>
    <w:p w14:paraId="208AEDA8" w14:textId="300563E7" w:rsidR="00A66F00" w:rsidRPr="00C07865" w:rsidRDefault="00A66F00" w:rsidP="00A66F00">
      <w:pPr>
        <w:pStyle w:val="ATHeading1"/>
      </w:pPr>
      <w:bookmarkStart w:id="0" w:name="TANumber"/>
      <w:r w:rsidRPr="00C07865">
        <w:t>P10_TA(2026)00</w:t>
      </w:r>
      <w:r w:rsidR="000309BD" w:rsidRPr="00C07865">
        <w:t>92</w:t>
      </w:r>
      <w:bookmarkEnd w:id="0"/>
    </w:p>
    <w:p w14:paraId="0CCBFDEE" w14:textId="3A85E816" w:rsidR="00A66F00" w:rsidRPr="00C07865" w:rsidRDefault="00C07865" w:rsidP="00A66F00">
      <w:pPr>
        <w:pStyle w:val="ATHeading2"/>
      </w:pPr>
      <w:bookmarkStart w:id="1" w:name="title"/>
      <w:r w:rsidRPr="00C07865">
        <w:t>Määruse (EL) nr 806/2014 muutmine seoses v</w:t>
      </w:r>
      <w:r w:rsidR="00A66F00" w:rsidRPr="00C07865">
        <w:t>arajase sekkumise meetme</w:t>
      </w:r>
      <w:r w:rsidRPr="00C07865">
        <w:t>te</w:t>
      </w:r>
      <w:r w:rsidR="00A66F00" w:rsidRPr="00C07865">
        <w:t>, kriisilahenduse eeltingimus</w:t>
      </w:r>
      <w:r w:rsidRPr="00C07865">
        <w:t>te</w:t>
      </w:r>
      <w:r w:rsidR="00A66F00" w:rsidRPr="00C07865">
        <w:t xml:space="preserve"> ja kriisilahenduse meetmete rahastami</w:t>
      </w:r>
      <w:r w:rsidRPr="00C07865">
        <w:t>sega</w:t>
      </w:r>
      <w:bookmarkEnd w:id="1"/>
    </w:p>
    <w:p w14:paraId="08D95A46" w14:textId="77777777" w:rsidR="00A66F00" w:rsidRPr="00C07865" w:rsidRDefault="00A66F00" w:rsidP="00A66F00">
      <w:pPr>
        <w:rPr>
          <w:i/>
          <w:vanish/>
        </w:rPr>
      </w:pPr>
      <w:r w:rsidRPr="00C07865">
        <w:rPr>
          <w:i/>
        </w:rPr>
        <w:fldChar w:fldCharType="begin"/>
      </w:r>
      <w:r w:rsidRPr="00C07865">
        <w:rPr>
          <w:i/>
        </w:rPr>
        <w:instrText xml:space="preserve"> TC"(</w:instrText>
      </w:r>
      <w:bookmarkStart w:id="2" w:name="DocNumber"/>
      <w:r w:rsidRPr="00C07865">
        <w:rPr>
          <w:i/>
        </w:rPr>
        <w:instrText>A10-0067/2026</w:instrText>
      </w:r>
      <w:bookmarkEnd w:id="2"/>
      <w:r w:rsidRPr="00C07865">
        <w:rPr>
          <w:i/>
        </w:rPr>
        <w:instrText xml:space="preserve"> - Raportöör: Irene </w:instrText>
      </w:r>
      <w:proofErr w:type="spellStart"/>
      <w:r w:rsidRPr="00C07865">
        <w:rPr>
          <w:i/>
        </w:rPr>
        <w:instrText>Tinagli</w:instrText>
      </w:r>
      <w:proofErr w:type="spellEnd"/>
      <w:r w:rsidRPr="00C07865">
        <w:rPr>
          <w:i/>
        </w:rPr>
        <w:instrText xml:space="preserve">)"\l3 \n&gt; \* MERGEFORMAT </w:instrText>
      </w:r>
      <w:r w:rsidRPr="00C07865">
        <w:rPr>
          <w:i/>
        </w:rPr>
        <w:fldChar w:fldCharType="end"/>
      </w:r>
    </w:p>
    <w:p w14:paraId="1568D57F" w14:textId="77777777" w:rsidR="00A66F00" w:rsidRPr="00C07865" w:rsidRDefault="00A66F00" w:rsidP="00A66F00">
      <w:pPr>
        <w:rPr>
          <w:vanish/>
        </w:rPr>
      </w:pPr>
      <w:bookmarkStart w:id="3" w:name="Commission"/>
      <w:r w:rsidRPr="00C07865">
        <w:rPr>
          <w:vanish/>
        </w:rPr>
        <w:t>Majandus- ja rahanduskomisjon</w:t>
      </w:r>
      <w:bookmarkEnd w:id="3"/>
    </w:p>
    <w:p w14:paraId="71D3271A" w14:textId="77777777" w:rsidR="00A66F00" w:rsidRPr="00C07865" w:rsidRDefault="00A66F00" w:rsidP="00A66F00">
      <w:pPr>
        <w:rPr>
          <w:vanish/>
        </w:rPr>
      </w:pPr>
      <w:bookmarkStart w:id="4" w:name="PE"/>
      <w:r w:rsidRPr="00C07865">
        <w:rPr>
          <w:vanish/>
        </w:rPr>
        <w:t>PE784.265</w:t>
      </w:r>
      <w:bookmarkEnd w:id="4"/>
    </w:p>
    <w:p w14:paraId="495AD5FC" w14:textId="533D1DC3" w:rsidR="00A66F00" w:rsidRPr="00C07865" w:rsidRDefault="00A66F00" w:rsidP="00EE2389">
      <w:pPr>
        <w:pStyle w:val="ATHeading3"/>
      </w:pPr>
      <w:bookmarkStart w:id="5" w:name="Sujet"/>
      <w:r w:rsidRPr="00C07865">
        <w:t xml:space="preserve">Euroopa Parlamendi </w:t>
      </w:r>
      <w:r w:rsidR="00EE2389" w:rsidRPr="00C07865">
        <w:t>26</w:t>
      </w:r>
      <w:r w:rsidRPr="00C07865">
        <w:t>.</w:t>
      </w:r>
      <w:r w:rsidR="00EE2389" w:rsidRPr="00C07865">
        <w:t> märtsi</w:t>
      </w:r>
      <w:r w:rsidRPr="00C07865">
        <w:t xml:space="preserve"> 2026.</w:t>
      </w:r>
      <w:r w:rsidR="00EE2389" w:rsidRPr="00C07865">
        <w:t> </w:t>
      </w:r>
      <w:r w:rsidRPr="00C07865">
        <w:t>aasta seadusandlik resolutsioon nõukogu esimese lugemise seisukoha kohta eesmärgiga võtta vastu Euroopa Parlamendi ja nõukogu määrus, millega muudetakse määrust (EL) nr 806/2014 seoses varajase sekkumise meetmete, kriisilahenduse eeltingimuste ja kriisilahenduse meetmete rahastamisega</w:t>
      </w:r>
      <w:bookmarkEnd w:id="5"/>
      <w:r w:rsidRPr="00C07865">
        <w:t xml:space="preserve"> </w:t>
      </w:r>
      <w:bookmarkStart w:id="6" w:name="References"/>
      <w:r w:rsidRPr="00C07865">
        <w:t>(15389/1/25 – C10-0072/2026 – 2023/0111(COD))</w:t>
      </w:r>
      <w:bookmarkEnd w:id="6"/>
    </w:p>
    <w:p w14:paraId="622381E7" w14:textId="77777777" w:rsidR="004928B8" w:rsidRPr="00C07865" w:rsidRDefault="004928B8" w:rsidP="004928B8">
      <w:pPr>
        <w:pStyle w:val="NormalBold"/>
      </w:pPr>
      <w:bookmarkStart w:id="7" w:name="TextBodyBegin"/>
      <w:bookmarkEnd w:id="7"/>
      <w:r w:rsidRPr="00C07865">
        <w:t>(Seadusandlik tavamenetlus: teine lugemine)</w:t>
      </w:r>
    </w:p>
    <w:p w14:paraId="073B749B" w14:textId="77777777" w:rsidR="004928B8" w:rsidRPr="00C07865" w:rsidRDefault="004928B8" w:rsidP="004928B8">
      <w:pPr>
        <w:pStyle w:val="EPComma"/>
      </w:pPr>
      <w:r w:rsidRPr="00C07865">
        <w:rPr>
          <w:i/>
        </w:rPr>
        <w:t>Euroopa Parlament,</w:t>
      </w:r>
    </w:p>
    <w:p w14:paraId="0EF51130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nõukogu esimese lugemise seisukohta (15389/1/25 – C10-0072/2026),</w:t>
      </w:r>
    </w:p>
    <w:p w14:paraId="6AA11EB9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Euroopa Keskpanga 5. juuli 2023. aasta arvamust</w:t>
      </w:r>
      <w:r w:rsidRPr="00C07865">
        <w:rPr>
          <w:vertAlign w:val="superscript"/>
        </w:rPr>
        <w:footnoteReference w:id="1"/>
      </w:r>
      <w:r w:rsidRPr="00C07865">
        <w:t>,</w:t>
      </w:r>
    </w:p>
    <w:p w14:paraId="42249991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Euroopa Majandus- ja Sotsiaalkomitee 13. juuli 2023. aasta arvamust</w:t>
      </w:r>
      <w:r w:rsidRPr="00C07865">
        <w:rPr>
          <w:bCs/>
          <w:vertAlign w:val="superscript"/>
        </w:rPr>
        <w:footnoteReference w:id="2"/>
      </w:r>
      <w:r w:rsidRPr="00C07865">
        <w:t>,</w:t>
      </w:r>
    </w:p>
    <w:p w14:paraId="11241AE8" w14:textId="55A566B1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oma esimese lugemise seisukohta</w:t>
      </w:r>
      <w:r w:rsidRPr="00C07865">
        <w:rPr>
          <w:rStyle w:val="FootnoteReference"/>
        </w:rPr>
        <w:footnoteReference w:id="3"/>
      </w:r>
      <w:r w:rsidRPr="00C07865">
        <w:t xml:space="preserve"> Euroopa Parlamendile ja nõukogule esitatud komisjoni ettepaneku</w:t>
      </w:r>
      <w:r w:rsidR="00EE2389" w:rsidRPr="00C07865">
        <w:t xml:space="preserve"> </w:t>
      </w:r>
      <w:r w:rsidRPr="00C07865">
        <w:t>(COM(2023)0226) suhtes,</w:t>
      </w:r>
    </w:p>
    <w:p w14:paraId="3128F7D8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Euroopa Liidu toimimise lepingu artikli 294 lõiget 7,</w:t>
      </w:r>
    </w:p>
    <w:p w14:paraId="0BB8F0D7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vastutava komisjoni poolt kodukorra artikli 75 lõike 4 kohaselt heaks kiidetud esialgset kokkulepet,</w:t>
      </w:r>
    </w:p>
    <w:p w14:paraId="50FC13A3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kodukorra artiklit 68,</w:t>
      </w:r>
    </w:p>
    <w:p w14:paraId="718A4282" w14:textId="77777777" w:rsidR="004928B8" w:rsidRPr="00C07865" w:rsidRDefault="004928B8" w:rsidP="004928B8">
      <w:pPr>
        <w:pStyle w:val="NormalHanging12a"/>
      </w:pPr>
      <w:r w:rsidRPr="00C07865">
        <w:t>–</w:t>
      </w:r>
      <w:r w:rsidRPr="00C07865">
        <w:tab/>
        <w:t>võttes arvesse majandus- ja rahanduskomisjoni teise lugemise soovitust (A10</w:t>
      </w:r>
      <w:r w:rsidRPr="00C07865">
        <w:noBreakHyphen/>
        <w:t>0067/2026),</w:t>
      </w:r>
    </w:p>
    <w:p w14:paraId="60265D73" w14:textId="77777777" w:rsidR="004928B8" w:rsidRPr="00C07865" w:rsidRDefault="004928B8" w:rsidP="004928B8">
      <w:pPr>
        <w:pStyle w:val="NormalHanging12a"/>
      </w:pPr>
      <w:r w:rsidRPr="00C07865">
        <w:lastRenderedPageBreak/>
        <w:t>1.</w:t>
      </w:r>
      <w:r w:rsidRPr="00C07865">
        <w:tab/>
        <w:t>kiidab nõukogu esimese lugemise seisukoha heaks;</w:t>
      </w:r>
    </w:p>
    <w:p w14:paraId="3ADBF818" w14:textId="77777777" w:rsidR="004928B8" w:rsidRPr="00C07865" w:rsidRDefault="004928B8" w:rsidP="004928B8">
      <w:pPr>
        <w:pStyle w:val="NormalHanging12a"/>
      </w:pPr>
      <w:r w:rsidRPr="00C07865">
        <w:t>2.</w:t>
      </w:r>
      <w:r w:rsidRPr="00C07865">
        <w:tab/>
        <w:t>märgib, et seadusandlik akt võetakse vastu kooskõlas nõukogu seisukohaga;</w:t>
      </w:r>
    </w:p>
    <w:p w14:paraId="23C9791A" w14:textId="77777777" w:rsidR="004928B8" w:rsidRPr="00C07865" w:rsidRDefault="004928B8" w:rsidP="004928B8">
      <w:pPr>
        <w:pStyle w:val="NormalHanging12a"/>
      </w:pPr>
      <w:r w:rsidRPr="00C07865">
        <w:t>3.</w:t>
      </w:r>
      <w:r w:rsidRPr="00C07865">
        <w:tab/>
        <w:t>teeb presidendile ülesandeks kirjutada koos nõukogu eesistujaga seadusandlikule aktile alla vastavalt Euroopa Liidu toimimise lepingu artikli 297 lõikele 1;</w:t>
      </w:r>
    </w:p>
    <w:p w14:paraId="03379FC2" w14:textId="77777777" w:rsidR="004928B8" w:rsidRPr="00C07865" w:rsidRDefault="004928B8" w:rsidP="004928B8">
      <w:pPr>
        <w:pStyle w:val="NormalHanging12a"/>
      </w:pPr>
      <w:r w:rsidRPr="00C07865">
        <w:t>4.</w:t>
      </w:r>
      <w:r w:rsidRPr="00C07865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C07865">
        <w:rPr>
          <w:i/>
          <w:iCs/>
        </w:rPr>
        <w:t>Euroopa Liidu Teatajas</w:t>
      </w:r>
      <w:r w:rsidRPr="00C07865">
        <w:t>;</w:t>
      </w:r>
    </w:p>
    <w:p w14:paraId="14D47151" w14:textId="55E849B7" w:rsidR="00E365E1" w:rsidRPr="00C07865" w:rsidRDefault="004928B8" w:rsidP="00EE2389">
      <w:pPr>
        <w:pStyle w:val="NormalHanging12a"/>
      </w:pPr>
      <w:r w:rsidRPr="00C07865">
        <w:t>5.</w:t>
      </w:r>
      <w:r w:rsidRPr="00C07865">
        <w:tab/>
        <w:t>teeb presidendile ülesandeks edastada Euroopa Parlamendi seisukoht nõukogule ja komisjonile ning liikmesriikide parlamentidele.</w:t>
      </w:r>
    </w:p>
    <w:sectPr w:rsidR="00E365E1" w:rsidRPr="00C07865" w:rsidSect="009B24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D5CD6" w14:textId="77777777" w:rsidR="00A66F00" w:rsidRPr="009B24F5" w:rsidRDefault="00A66F00">
      <w:r w:rsidRPr="009B24F5">
        <w:separator/>
      </w:r>
    </w:p>
  </w:endnote>
  <w:endnote w:type="continuationSeparator" w:id="0">
    <w:p w14:paraId="53A514B7" w14:textId="77777777" w:rsidR="00A66F00" w:rsidRPr="009B24F5" w:rsidRDefault="00A66F00">
      <w:r w:rsidRPr="009B24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A5BC4" w14:textId="77777777" w:rsidR="00064002" w:rsidRPr="009B24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7EC65" w14:textId="77777777" w:rsidR="00064002" w:rsidRPr="009B24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802D" w14:textId="77777777" w:rsidR="00064002" w:rsidRPr="009B24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91796" w14:textId="77777777" w:rsidR="00A66F00" w:rsidRPr="009B24F5" w:rsidRDefault="00A66F00">
      <w:r w:rsidRPr="009B24F5">
        <w:separator/>
      </w:r>
    </w:p>
  </w:footnote>
  <w:footnote w:type="continuationSeparator" w:id="0">
    <w:p w14:paraId="502D1346" w14:textId="77777777" w:rsidR="00A66F00" w:rsidRPr="009B24F5" w:rsidRDefault="00A66F00">
      <w:r w:rsidRPr="009B24F5">
        <w:continuationSeparator/>
      </w:r>
    </w:p>
  </w:footnote>
  <w:footnote w:id="1">
    <w:p w14:paraId="679A0876" w14:textId="3E2572DA" w:rsidR="004928B8" w:rsidRPr="009B24F5" w:rsidRDefault="004928B8" w:rsidP="009B24F5">
      <w:pPr>
        <w:pStyle w:val="FootnoteText"/>
        <w:ind w:left="567" w:hanging="567"/>
        <w:rPr>
          <w:b/>
          <w:bCs/>
          <w:sz w:val="24"/>
          <w:lang w:val="et-EE"/>
        </w:rPr>
      </w:pPr>
      <w:r w:rsidRPr="009B24F5">
        <w:rPr>
          <w:rStyle w:val="FootnoteReference"/>
          <w:sz w:val="24"/>
          <w:lang w:val="et-EE"/>
        </w:rPr>
        <w:footnoteRef/>
      </w:r>
      <w:r w:rsidR="009B24F5" w:rsidRPr="009B24F5">
        <w:rPr>
          <w:sz w:val="24"/>
          <w:lang w:val="et-EE"/>
        </w:rPr>
        <w:tab/>
      </w:r>
      <w:r w:rsidRPr="009B24F5">
        <w:rPr>
          <w:sz w:val="24"/>
          <w:lang w:val="et-EE"/>
        </w:rPr>
        <w:t>ELT C 307, 31.8.2023, lk 19.</w:t>
      </w:r>
    </w:p>
  </w:footnote>
  <w:footnote w:id="2">
    <w:p w14:paraId="1B43767A" w14:textId="3DB3ED63" w:rsidR="004928B8" w:rsidRPr="009B24F5" w:rsidRDefault="004928B8" w:rsidP="009B24F5">
      <w:pPr>
        <w:pStyle w:val="FootnoteText"/>
        <w:ind w:left="567" w:hanging="567"/>
        <w:rPr>
          <w:sz w:val="24"/>
          <w:lang w:val="et-EE"/>
        </w:rPr>
      </w:pPr>
      <w:r w:rsidRPr="009B24F5">
        <w:rPr>
          <w:rStyle w:val="FootnoteReference"/>
          <w:sz w:val="24"/>
          <w:lang w:val="et-EE"/>
        </w:rPr>
        <w:footnoteRef/>
      </w:r>
      <w:bookmarkStart w:id="8" w:name="_Hlk212814778"/>
      <w:r w:rsidR="009B24F5" w:rsidRPr="009B24F5">
        <w:rPr>
          <w:sz w:val="24"/>
          <w:lang w:val="et-EE"/>
        </w:rPr>
        <w:tab/>
      </w:r>
      <w:r w:rsidRPr="009B24F5">
        <w:rPr>
          <w:sz w:val="24"/>
          <w:lang w:val="et-EE"/>
        </w:rPr>
        <w:t>ELT C 349, 29.9.2023, lk 161.</w:t>
      </w:r>
      <w:bookmarkEnd w:id="8"/>
    </w:p>
  </w:footnote>
  <w:footnote w:id="3">
    <w:p w14:paraId="0624F779" w14:textId="2A3EC659" w:rsidR="004928B8" w:rsidRPr="009B24F5" w:rsidRDefault="004928B8" w:rsidP="009B24F5">
      <w:pPr>
        <w:pStyle w:val="FootnoteText"/>
        <w:ind w:left="567" w:hanging="567"/>
        <w:rPr>
          <w:sz w:val="24"/>
          <w:lang w:val="et-EE"/>
        </w:rPr>
      </w:pPr>
      <w:r w:rsidRPr="009B24F5">
        <w:rPr>
          <w:rStyle w:val="FootnoteReference"/>
          <w:sz w:val="24"/>
          <w:lang w:val="et-EE"/>
        </w:rPr>
        <w:footnoteRef/>
      </w:r>
      <w:r w:rsidR="009B24F5" w:rsidRPr="009B24F5">
        <w:rPr>
          <w:sz w:val="24"/>
          <w:lang w:val="et-EE"/>
        </w:rPr>
        <w:tab/>
      </w:r>
      <w:r w:rsidR="00EE2389">
        <w:rPr>
          <w:sz w:val="24"/>
          <w:lang w:val="et-EE"/>
        </w:rPr>
        <w:t>ELT </w:t>
      </w:r>
      <w:r w:rsidR="00EE2389" w:rsidRPr="00EE2389">
        <w:rPr>
          <w:sz w:val="24"/>
          <w:lang w:val="et-EE"/>
        </w:rPr>
        <w:t>C, C/2025/3752, 17.9.2025, ELI:</w:t>
      </w:r>
      <w:r w:rsidR="00EE2389">
        <w:rPr>
          <w:sz w:val="24"/>
          <w:lang w:val="et-EE"/>
        </w:rPr>
        <w:t> </w:t>
      </w:r>
      <w:hyperlink r:id="rId1" w:history="1">
        <w:r w:rsidR="00EE2389" w:rsidRPr="00EE2389">
          <w:rPr>
            <w:rStyle w:val="Hyperlink"/>
            <w:sz w:val="24"/>
            <w:lang w:val="et-EE"/>
          </w:rPr>
          <w:t>http://data.europa.eu/eli/C/2025/3752/oj</w:t>
        </w:r>
      </w:hyperlink>
      <w:r w:rsidRPr="009B24F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D1A48" w14:textId="77777777" w:rsidR="00064002" w:rsidRPr="009B24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F62B" w14:textId="77777777" w:rsidR="00064002" w:rsidRPr="009B24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DEA2D" w14:textId="77777777" w:rsidR="00064002" w:rsidRPr="009B24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766531">
    <w:abstractNumId w:val="9"/>
  </w:num>
  <w:num w:numId="2" w16cid:durableId="735973892">
    <w:abstractNumId w:val="9"/>
  </w:num>
  <w:num w:numId="3" w16cid:durableId="1109197895">
    <w:abstractNumId w:val="7"/>
  </w:num>
  <w:num w:numId="4" w16cid:durableId="766922340">
    <w:abstractNumId w:val="7"/>
  </w:num>
  <w:num w:numId="5" w16cid:durableId="1587307126">
    <w:abstractNumId w:val="6"/>
  </w:num>
  <w:num w:numId="6" w16cid:durableId="258635509">
    <w:abstractNumId w:val="6"/>
  </w:num>
  <w:num w:numId="7" w16cid:durableId="738865770">
    <w:abstractNumId w:val="5"/>
  </w:num>
  <w:num w:numId="8" w16cid:durableId="627396026">
    <w:abstractNumId w:val="5"/>
  </w:num>
  <w:num w:numId="9" w16cid:durableId="675764897">
    <w:abstractNumId w:val="4"/>
  </w:num>
  <w:num w:numId="10" w16cid:durableId="1037777048">
    <w:abstractNumId w:val="4"/>
  </w:num>
  <w:num w:numId="11" w16cid:durableId="1542785512">
    <w:abstractNumId w:val="8"/>
  </w:num>
  <w:num w:numId="12" w16cid:durableId="1261987610">
    <w:abstractNumId w:val="8"/>
  </w:num>
  <w:num w:numId="13" w16cid:durableId="100146037">
    <w:abstractNumId w:val="3"/>
  </w:num>
  <w:num w:numId="14" w16cid:durableId="450899821">
    <w:abstractNumId w:val="3"/>
  </w:num>
  <w:num w:numId="15" w16cid:durableId="1184712266">
    <w:abstractNumId w:val="2"/>
  </w:num>
  <w:num w:numId="16" w16cid:durableId="777022520">
    <w:abstractNumId w:val="2"/>
  </w:num>
  <w:num w:numId="17" w16cid:durableId="490758344">
    <w:abstractNumId w:val="1"/>
  </w:num>
  <w:num w:numId="18" w16cid:durableId="439301360">
    <w:abstractNumId w:val="1"/>
  </w:num>
  <w:num w:numId="19" w16cid:durableId="678657279">
    <w:abstractNumId w:val="0"/>
  </w:num>
  <w:num w:numId="20" w16cid:durableId="1619406081">
    <w:abstractNumId w:val="0"/>
  </w:num>
  <w:num w:numId="21" w16cid:durableId="300693898">
    <w:abstractNumId w:val="9"/>
  </w:num>
  <w:num w:numId="22" w16cid:durableId="1283925839">
    <w:abstractNumId w:val="7"/>
  </w:num>
  <w:num w:numId="23" w16cid:durableId="653486181">
    <w:abstractNumId w:val="6"/>
  </w:num>
  <w:num w:numId="24" w16cid:durableId="2099329461">
    <w:abstractNumId w:val="5"/>
  </w:num>
  <w:num w:numId="25" w16cid:durableId="1607812003">
    <w:abstractNumId w:val="4"/>
  </w:num>
  <w:num w:numId="26" w16cid:durableId="229771583">
    <w:abstractNumId w:val="8"/>
  </w:num>
  <w:num w:numId="27" w16cid:durableId="1543250722">
    <w:abstractNumId w:val="3"/>
  </w:num>
  <w:num w:numId="28" w16cid:durableId="1459179639">
    <w:abstractNumId w:val="2"/>
  </w:num>
  <w:num w:numId="29" w16cid:durableId="8263612">
    <w:abstractNumId w:val="1"/>
  </w:num>
  <w:num w:numId="30" w16cid:durableId="1971398303">
    <w:abstractNumId w:val="0"/>
  </w:num>
  <w:num w:numId="31" w16cid:durableId="581569250">
    <w:abstractNumId w:val="9"/>
  </w:num>
  <w:num w:numId="32" w16cid:durableId="1732727652">
    <w:abstractNumId w:val="7"/>
  </w:num>
  <w:num w:numId="33" w16cid:durableId="1222250435">
    <w:abstractNumId w:val="6"/>
  </w:num>
  <w:num w:numId="34" w16cid:durableId="690648596">
    <w:abstractNumId w:val="5"/>
  </w:num>
  <w:num w:numId="35" w16cid:durableId="2077850356">
    <w:abstractNumId w:val="4"/>
  </w:num>
  <w:num w:numId="36" w16cid:durableId="1330134463">
    <w:abstractNumId w:val="8"/>
  </w:num>
  <w:num w:numId="37" w16cid:durableId="1684941847">
    <w:abstractNumId w:val="3"/>
  </w:num>
  <w:num w:numId="38" w16cid:durableId="1982689315">
    <w:abstractNumId w:val="2"/>
  </w:num>
  <w:num w:numId="39" w16cid:durableId="1274240694">
    <w:abstractNumId w:val="1"/>
  </w:num>
  <w:num w:numId="40" w16cid:durableId="679620632">
    <w:abstractNumId w:val="0"/>
  </w:num>
  <w:num w:numId="41" w16cid:durableId="425806134">
    <w:abstractNumId w:val="10"/>
  </w:num>
  <w:num w:numId="42" w16cid:durableId="1690444641">
    <w:abstractNumId w:val="10"/>
  </w:num>
  <w:num w:numId="43" w16cid:durableId="609164165">
    <w:abstractNumId w:val="10"/>
  </w:num>
  <w:num w:numId="44" w16cid:durableId="21274576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ET"/>
    <w:docVar w:name="dvnumam" w:val="0"/>
    <w:docVar w:name="dvpe" w:val="784.265"/>
    <w:docVar w:name="dvrapporteur" w:val="Raportöör: "/>
    <w:docVar w:name="dvstar" w:val="***II"/>
    <w:docVar w:name="dvtitre" w:val="Euroopa Parlamendi .... 2026. aasta seadusandlik resolutsioon nõukogu esimese lugemise seisukoha kohta eesmärgiga võtta vastu Euroopa Parlamendi ja nõukogu määrus, millega muudetakse määrust (EL) nr 806/2014 seoses varajase sekkumise meetmete, kriisilahenduse eeltingimuste ja kriisilahenduse meetmete rahastamisega(15389/1/25 – C10-0072/2026 – 2023/0111(COD))"/>
  </w:docVars>
  <w:rsids>
    <w:rsidRoot w:val="00A66F00"/>
    <w:rsid w:val="00002272"/>
    <w:rsid w:val="000309B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6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8B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132"/>
    <w:rsid w:val="00930C23"/>
    <w:rsid w:val="0093193B"/>
    <w:rsid w:val="009509D8"/>
    <w:rsid w:val="00950B64"/>
    <w:rsid w:val="00981893"/>
    <w:rsid w:val="009B24F5"/>
    <w:rsid w:val="00A1687D"/>
    <w:rsid w:val="00A43E52"/>
    <w:rsid w:val="00A4678D"/>
    <w:rsid w:val="00A66F00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865"/>
    <w:rsid w:val="00C23BC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38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0F5ED"/>
  <w15:chartTrackingRefBased/>
  <w15:docId w15:val="{73B03695-1A72-4F9E-8D6E-17792FA5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28B8"/>
    <w:pPr>
      <w:spacing w:before="480" w:after="240"/>
    </w:pPr>
  </w:style>
  <w:style w:type="paragraph" w:customStyle="1" w:styleId="NormalBold">
    <w:name w:val="NormalBold"/>
    <w:basedOn w:val="Normal"/>
    <w:rsid w:val="004928B8"/>
    <w:rPr>
      <w:b/>
    </w:rPr>
  </w:style>
  <w:style w:type="paragraph" w:customStyle="1" w:styleId="NormalHanging12a">
    <w:name w:val="NormalHanging12a"/>
    <w:basedOn w:val="Normal"/>
    <w:rsid w:val="004928B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E2389"/>
    <w:rPr>
      <w:sz w:val="24"/>
      <w:lang w:val="et-EE"/>
    </w:rPr>
  </w:style>
  <w:style w:type="character" w:styleId="Hyperlink">
    <w:name w:val="Hyperlink"/>
    <w:basedOn w:val="DefaultParagraphFont"/>
    <w:rsid w:val="00EE23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2026-03-26T13:24:00Z</dcterms:created>
  <dcterms:modified xsi:type="dcterms:W3CDTF">2026-03-26T13:24:00Z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