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37CE" w14:paraId="300311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61DEF3" w14:textId="77777777" w:rsidR="00751A4A" w:rsidRPr="00D137CE" w:rsidRDefault="009A3C1F" w:rsidP="0010095E">
            <w:pPr>
              <w:pStyle w:val="EPName"/>
            </w:pPr>
            <w:r w:rsidRPr="00D137CE">
              <w:t>Evropský parlament</w:t>
            </w:r>
          </w:p>
          <w:p w14:paraId="51B31619" w14:textId="77777777" w:rsidR="00751A4A" w:rsidRPr="00D137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37CE">
              <w:t>2024</w:t>
            </w:r>
            <w:r w:rsidR="00817416" w:rsidRPr="00D137CE">
              <w:t>-202</w:t>
            </w:r>
            <w:r w:rsidRPr="00D137CE">
              <w:t>9</w:t>
            </w:r>
          </w:p>
        </w:tc>
        <w:tc>
          <w:tcPr>
            <w:tcW w:w="2268" w:type="dxa"/>
            <w:shd w:val="clear" w:color="auto" w:fill="auto"/>
          </w:tcPr>
          <w:p w14:paraId="5E63A6CE" w14:textId="77777777" w:rsidR="00751A4A" w:rsidRPr="00D137CE" w:rsidRDefault="00187494" w:rsidP="0010095E">
            <w:pPr>
              <w:pStyle w:val="EPLogo"/>
            </w:pPr>
            <w:r w:rsidRPr="00D137CE">
              <w:rPr>
                <w:noProof/>
                <w:lang w:eastAsia="ja-JP"/>
              </w:rPr>
              <w:drawing>
                <wp:inline distT="0" distB="0" distL="0" distR="0" wp14:anchorId="7CA03213" wp14:editId="28AE03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D5F8FF" w14:textId="77777777" w:rsidR="00D058B8" w:rsidRPr="00D137CE" w:rsidRDefault="00D058B8" w:rsidP="004C5D52">
      <w:pPr>
        <w:pStyle w:val="LineTop"/>
      </w:pPr>
    </w:p>
    <w:p w14:paraId="2BBDF933" w14:textId="77777777" w:rsidR="00680577" w:rsidRPr="00D137CE" w:rsidRDefault="009A3C1F" w:rsidP="00680577">
      <w:pPr>
        <w:pStyle w:val="EPBodyTA1"/>
      </w:pPr>
      <w:r w:rsidRPr="00D137CE">
        <w:t>PŘIJATÉ TEXTY</w:t>
      </w:r>
    </w:p>
    <w:p w14:paraId="320DD399" w14:textId="77777777" w:rsidR="00D058B8" w:rsidRPr="00D137CE" w:rsidRDefault="00D058B8" w:rsidP="00D058B8">
      <w:pPr>
        <w:pStyle w:val="LineBottom"/>
      </w:pPr>
    </w:p>
    <w:p w14:paraId="577B7128" w14:textId="62AF0E67" w:rsidR="009A3C1F" w:rsidRPr="00D137CE" w:rsidRDefault="009A3C1F" w:rsidP="009A3C1F">
      <w:pPr>
        <w:pStyle w:val="ATHeading1"/>
      </w:pPr>
      <w:bookmarkStart w:id="0" w:name="TANumber"/>
      <w:r w:rsidRPr="00D137CE">
        <w:t>P10_TA(2026)00</w:t>
      </w:r>
      <w:r w:rsidR="00C3690B">
        <w:t>93</w:t>
      </w:r>
      <w:bookmarkEnd w:id="0"/>
    </w:p>
    <w:p w14:paraId="35B0E230" w14:textId="3EFC3C5C" w:rsidR="009A3C1F" w:rsidRPr="00D137CE" w:rsidRDefault="00D137CE" w:rsidP="009A3C1F">
      <w:pPr>
        <w:pStyle w:val="ATHeading2"/>
      </w:pPr>
      <w:r w:rsidRPr="00D137CE">
        <w:rPr>
          <w:bCs/>
        </w:rPr>
        <w:t>Látky znečišťující povrchové a podzemní vody</w:t>
      </w:r>
    </w:p>
    <w:p w14:paraId="5DE214B7" w14:textId="77777777" w:rsidR="009A3C1F" w:rsidRPr="00D137CE" w:rsidRDefault="009A3C1F" w:rsidP="009A3C1F">
      <w:pPr>
        <w:rPr>
          <w:i/>
          <w:vanish/>
        </w:rPr>
      </w:pPr>
      <w:r w:rsidRPr="00D137CE">
        <w:rPr>
          <w:i/>
        </w:rPr>
        <w:fldChar w:fldCharType="begin"/>
      </w:r>
      <w:r w:rsidRPr="00D137CE">
        <w:rPr>
          <w:i/>
        </w:rPr>
        <w:instrText xml:space="preserve"> TC"(</w:instrText>
      </w:r>
      <w:bookmarkStart w:id="1" w:name="DocNumber"/>
      <w:r w:rsidRPr="00D137CE">
        <w:rPr>
          <w:i/>
        </w:rPr>
        <w:instrText>A10-0063/2026</w:instrText>
      </w:r>
      <w:bookmarkEnd w:id="1"/>
      <w:r w:rsidRPr="00D137CE">
        <w:rPr>
          <w:i/>
        </w:rPr>
        <w:instrText xml:space="preserve"> - Zpravodaj: Javi López)"\l3 \n&gt; \* MERGEFORMAT </w:instrText>
      </w:r>
      <w:r w:rsidRPr="00D137CE">
        <w:rPr>
          <w:i/>
        </w:rPr>
        <w:fldChar w:fldCharType="end"/>
      </w:r>
    </w:p>
    <w:p w14:paraId="4541A30C" w14:textId="77777777" w:rsidR="009A3C1F" w:rsidRPr="00D137CE" w:rsidRDefault="009A3C1F" w:rsidP="009A3C1F">
      <w:pPr>
        <w:rPr>
          <w:vanish/>
        </w:rPr>
      </w:pPr>
      <w:bookmarkStart w:id="2" w:name="Commission"/>
      <w:r w:rsidRPr="00D137CE">
        <w:rPr>
          <w:vanish/>
        </w:rPr>
        <w:t>Výbor pro životní prostředí, klima a bezpečnost potravin</w:t>
      </w:r>
      <w:bookmarkEnd w:id="2"/>
    </w:p>
    <w:p w14:paraId="0218D2CA" w14:textId="77777777" w:rsidR="009A3C1F" w:rsidRPr="00D137CE" w:rsidRDefault="009A3C1F" w:rsidP="009A3C1F">
      <w:pPr>
        <w:rPr>
          <w:vanish/>
        </w:rPr>
      </w:pPr>
      <w:bookmarkStart w:id="3" w:name="PE"/>
      <w:r w:rsidRPr="00D137CE">
        <w:rPr>
          <w:vanish/>
        </w:rPr>
        <w:t>PE785.254</w:t>
      </w:r>
      <w:bookmarkEnd w:id="3"/>
    </w:p>
    <w:p w14:paraId="0D5B312E" w14:textId="5E2E2D0D" w:rsidR="009A3C1F" w:rsidRPr="00D137CE" w:rsidRDefault="009A3C1F" w:rsidP="009A3C1F">
      <w:pPr>
        <w:pStyle w:val="ATHeading3"/>
      </w:pPr>
      <w:bookmarkStart w:id="4" w:name="Sujet"/>
      <w:r w:rsidRPr="00D137CE">
        <w:t>Legislativní usnesení Evropského parlamentu ze dne 26. března 2026 k postoji Rady v prvním čtení k přijetí směrnice Evropského parlamentu a Rady, kterou se mění směrnice 2000/60/ES, kterou se stanoví rámec pro činnost Společenství v oblasti vodní politiky, směrnice 2006/118/ES o ochraně podzemních vod před znečištěním a zhoršováním stavu a směrnice 2008/105/ES o normách environmentální kvality v oblasti vodní politiky</w:t>
      </w:r>
      <w:bookmarkEnd w:id="4"/>
      <w:r w:rsidRPr="00D137CE">
        <w:t xml:space="preserve"> </w:t>
      </w:r>
      <w:bookmarkStart w:id="5" w:name="References"/>
      <w:r w:rsidRPr="00D137CE">
        <w:t>(14144/</w:t>
      </w:r>
      <w:r w:rsidR="00180A5B">
        <w:t>1/</w:t>
      </w:r>
      <w:r w:rsidRPr="00D137CE">
        <w:t>2025 – C10-0065/</w:t>
      </w:r>
      <w:proofErr w:type="gramStart"/>
      <w:r w:rsidRPr="00D137CE">
        <w:t>2026 – 2022</w:t>
      </w:r>
      <w:proofErr w:type="gramEnd"/>
      <w:r w:rsidRPr="00D137CE">
        <w:t>/0344(COD))</w:t>
      </w:r>
      <w:bookmarkEnd w:id="5"/>
    </w:p>
    <w:p w14:paraId="7E7A621D" w14:textId="77777777" w:rsidR="009A3C1F" w:rsidRPr="00D137CE" w:rsidRDefault="009A3C1F" w:rsidP="009A3C1F"/>
    <w:p w14:paraId="097A8AD7" w14:textId="77777777" w:rsidR="00D27D9C" w:rsidRPr="00D137CE" w:rsidRDefault="00D27D9C" w:rsidP="00D27D9C">
      <w:pPr>
        <w:pStyle w:val="NormalBold"/>
      </w:pPr>
      <w:bookmarkStart w:id="6" w:name="TextBodyBegin"/>
      <w:bookmarkEnd w:id="6"/>
      <w:r w:rsidRPr="00D137CE">
        <w:t>(Řádný legislativní postup: druhé čtení)</w:t>
      </w:r>
    </w:p>
    <w:p w14:paraId="3D2CFCF3" w14:textId="77777777" w:rsidR="00D27D9C" w:rsidRPr="00D137CE" w:rsidRDefault="00D27D9C" w:rsidP="00D27D9C">
      <w:pPr>
        <w:pStyle w:val="EPComma"/>
      </w:pPr>
      <w:r w:rsidRPr="00D137CE">
        <w:rPr>
          <w:i/>
        </w:rPr>
        <w:t>Evropský parlament</w:t>
      </w:r>
      <w:r w:rsidRPr="00D137CE">
        <w:t>,</w:t>
      </w:r>
    </w:p>
    <w:p w14:paraId="01F0BB84" w14:textId="7BE04B03" w:rsidR="00D27D9C" w:rsidRPr="00D137CE" w:rsidRDefault="00D27D9C" w:rsidP="00D137CE">
      <w:pPr>
        <w:pStyle w:val="NormalHanging12a"/>
      </w:pPr>
      <w:r w:rsidRPr="00D137CE">
        <w:t>–</w:t>
      </w:r>
      <w:r w:rsidRPr="00D137CE">
        <w:tab/>
        <w:t>s ohledem na postoj Rady v prvním čtení (14144/</w:t>
      </w:r>
      <w:r w:rsidR="00180A5B">
        <w:t>1/</w:t>
      </w:r>
      <w:r w:rsidRPr="00D137CE">
        <w:t>2025 – C10</w:t>
      </w:r>
      <w:r w:rsidRPr="00D137CE">
        <w:noBreakHyphen/>
        <w:t>0065/2026),</w:t>
      </w:r>
    </w:p>
    <w:p w14:paraId="0B566423" w14:textId="77777777" w:rsidR="00D27D9C" w:rsidRPr="00D137CE" w:rsidRDefault="00D27D9C" w:rsidP="00D137CE">
      <w:pPr>
        <w:pStyle w:val="NormalHanging12a"/>
      </w:pPr>
      <w:r w:rsidRPr="00D137CE">
        <w:t>–</w:t>
      </w:r>
      <w:r w:rsidRPr="00D137CE">
        <w:tab/>
        <w:t>s ohledem na stanovisko Evropského hospodářského a sociálního výboru ze dne 22. února 2023</w:t>
      </w:r>
      <w:r w:rsidRPr="00D137CE">
        <w:rPr>
          <w:rStyle w:val="FootnoteReference"/>
        </w:rPr>
        <w:footnoteReference w:id="1"/>
      </w:r>
      <w:r w:rsidRPr="00D137CE">
        <w:t>,</w:t>
      </w:r>
    </w:p>
    <w:p w14:paraId="0C4C5A81" w14:textId="77777777" w:rsidR="00D27D9C" w:rsidRPr="00D137CE" w:rsidRDefault="00D27D9C" w:rsidP="00D137CE">
      <w:pPr>
        <w:pStyle w:val="NormalHanging12a"/>
      </w:pPr>
      <w:r w:rsidRPr="00D137CE">
        <w:t>–</w:t>
      </w:r>
      <w:r w:rsidRPr="00D137CE">
        <w:tab/>
        <w:t>s ohledem na svůj postoj v prvním čtení</w:t>
      </w:r>
      <w:r w:rsidRPr="00D137CE">
        <w:rPr>
          <w:rStyle w:val="FootnoteReference"/>
        </w:rPr>
        <w:footnoteReference w:id="2"/>
      </w:r>
      <w:r w:rsidRPr="00D137CE">
        <w:t xml:space="preserve"> k návrhu Komise Evropskému parlamentu a Radě (</w:t>
      </w:r>
      <w:proofErr w:type="gramStart"/>
      <w:r w:rsidRPr="00D137CE">
        <w:t>COM(</w:t>
      </w:r>
      <w:proofErr w:type="gramEnd"/>
      <w:r w:rsidRPr="00D137CE">
        <w:t>2022)0540),</w:t>
      </w:r>
    </w:p>
    <w:p w14:paraId="6838AB6B" w14:textId="77777777" w:rsidR="00D27D9C" w:rsidRPr="00D137CE" w:rsidRDefault="00D27D9C" w:rsidP="00D137CE">
      <w:pPr>
        <w:pStyle w:val="NormalHanging12a"/>
      </w:pPr>
      <w:r w:rsidRPr="00D137CE">
        <w:t>–</w:t>
      </w:r>
      <w:r w:rsidRPr="00D137CE">
        <w:tab/>
        <w:t>s ohledem na čl. 294 odst. 7 Smlouvy o fungování Evropské unie,</w:t>
      </w:r>
    </w:p>
    <w:p w14:paraId="61150B07" w14:textId="77777777" w:rsidR="00D27D9C" w:rsidRPr="00D137CE" w:rsidRDefault="00D27D9C" w:rsidP="00D137CE">
      <w:pPr>
        <w:pStyle w:val="NormalHanging12a"/>
      </w:pPr>
      <w:r w:rsidRPr="00D137CE">
        <w:t>–</w:t>
      </w:r>
      <w:r w:rsidRPr="00D137CE">
        <w:tab/>
        <w:t>s ohledem na předběžnou dohodu přijatou příslušným výborem podle čl. 75 odst. 4 jednacího řádu,</w:t>
      </w:r>
    </w:p>
    <w:p w14:paraId="7F54F8B6" w14:textId="77777777" w:rsidR="00D27D9C" w:rsidRPr="00D137CE" w:rsidRDefault="00D27D9C" w:rsidP="00D137CE">
      <w:pPr>
        <w:pStyle w:val="NormalHanging12a"/>
      </w:pPr>
      <w:r w:rsidRPr="00D137CE">
        <w:t>–</w:t>
      </w:r>
      <w:r w:rsidRPr="00D137CE">
        <w:tab/>
        <w:t>s ohledem na článek 68 jednacího řádu,</w:t>
      </w:r>
    </w:p>
    <w:p w14:paraId="79D650E7" w14:textId="77777777" w:rsidR="00D27D9C" w:rsidRPr="00D137CE" w:rsidRDefault="00D27D9C" w:rsidP="00D137CE">
      <w:pPr>
        <w:pStyle w:val="NormalHanging12a"/>
      </w:pPr>
      <w:r w:rsidRPr="00D137CE">
        <w:t>–</w:t>
      </w:r>
      <w:r w:rsidRPr="00D137CE">
        <w:tab/>
        <w:t>s ohledem na doporučení pro druhé čtení předložené Výborem pro životní prostředí, klima a bezpečnost potravin (A10</w:t>
      </w:r>
      <w:r w:rsidRPr="00D137CE">
        <w:noBreakHyphen/>
        <w:t>0063/2026),</w:t>
      </w:r>
    </w:p>
    <w:p w14:paraId="2DEAB89D" w14:textId="77777777" w:rsidR="00D27D9C" w:rsidRPr="00D137CE" w:rsidRDefault="00D27D9C" w:rsidP="00D137CE">
      <w:pPr>
        <w:pStyle w:val="NormalHanging12a"/>
      </w:pPr>
      <w:r w:rsidRPr="00D137CE">
        <w:t>1.</w:t>
      </w:r>
      <w:r w:rsidRPr="00D137CE">
        <w:tab/>
        <w:t>schvaluje postoj Rady v prvním čtení;</w:t>
      </w:r>
    </w:p>
    <w:p w14:paraId="20B91AE8" w14:textId="77777777" w:rsidR="00D27D9C" w:rsidRPr="00D137CE" w:rsidRDefault="00D27D9C" w:rsidP="00D137CE">
      <w:pPr>
        <w:pStyle w:val="NormalHanging12a"/>
      </w:pPr>
      <w:r w:rsidRPr="00D137CE">
        <w:lastRenderedPageBreak/>
        <w:t>2.</w:t>
      </w:r>
      <w:r w:rsidRPr="00D137CE">
        <w:tab/>
        <w:t>konstatuje, že akt je přijat v souladu s postojem Rady;</w:t>
      </w:r>
    </w:p>
    <w:p w14:paraId="7849EEC6" w14:textId="77777777" w:rsidR="00D27D9C" w:rsidRPr="00D137CE" w:rsidRDefault="00D27D9C" w:rsidP="00D137CE">
      <w:pPr>
        <w:pStyle w:val="NormalHanging12a"/>
      </w:pPr>
      <w:r w:rsidRPr="00D137CE">
        <w:t>3.</w:t>
      </w:r>
      <w:r w:rsidRPr="00D137CE">
        <w:tab/>
        <w:t>pověřuje svou předsedkyni, aby společně s předsedou Rady podepsala akt podle čl. 297 odst. 1 Smlouvy o fungování Evropské unie;</w:t>
      </w:r>
    </w:p>
    <w:p w14:paraId="475A207C" w14:textId="77777777" w:rsidR="00D27D9C" w:rsidRPr="00D137CE" w:rsidRDefault="00D27D9C" w:rsidP="00D137CE">
      <w:pPr>
        <w:pStyle w:val="NormalHanging12a"/>
      </w:pPr>
      <w:r w:rsidRPr="00D137CE">
        <w:t>4.</w:t>
      </w:r>
      <w:r w:rsidRPr="00D137CE">
        <w:tab/>
        <w:t xml:space="preserve">pověřuje svého generálního tajemníka, aby akt podepsal poté, co </w:t>
      </w:r>
      <w:proofErr w:type="gramStart"/>
      <w:r w:rsidRPr="00D137CE">
        <w:t>ověří</w:t>
      </w:r>
      <w:proofErr w:type="gramEnd"/>
      <w:r w:rsidRPr="00D137CE">
        <w:t>, že všechny postupy byly řádně ukončeny, a aby společně s generální tajemnicí Rady zajistil jeho zveřejnění v </w:t>
      </w:r>
      <w:r w:rsidRPr="00D137CE">
        <w:rPr>
          <w:i/>
        </w:rPr>
        <w:t>Úředním věstníku Evropské unie</w:t>
      </w:r>
      <w:r w:rsidRPr="00D137CE">
        <w:t>;</w:t>
      </w:r>
    </w:p>
    <w:p w14:paraId="679D06F1" w14:textId="4499BBA3" w:rsidR="000A533D" w:rsidRPr="00D137CE" w:rsidRDefault="00D27D9C" w:rsidP="00D137CE">
      <w:pPr>
        <w:pStyle w:val="NormalHanging12a"/>
      </w:pPr>
      <w:r w:rsidRPr="00D137CE">
        <w:t>5.</w:t>
      </w:r>
      <w:r w:rsidRPr="00D137CE">
        <w:tab/>
        <w:t>pověřuje svou předsedkyni, aby předala postoj Parlamentu Radě, Komisi a vnitrostátním parlamentům.</w:t>
      </w:r>
    </w:p>
    <w:p w14:paraId="499DF257" w14:textId="34AADD45" w:rsidR="00E365E1" w:rsidRPr="00D137CE" w:rsidRDefault="00E365E1" w:rsidP="009A3C1F"/>
    <w:sectPr w:rsidR="00E365E1" w:rsidRPr="00D137CE" w:rsidSect="000A53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3060A" w14:textId="77777777" w:rsidR="009A3C1F" w:rsidRPr="000A533D" w:rsidRDefault="009A3C1F">
      <w:r w:rsidRPr="000A533D">
        <w:separator/>
      </w:r>
    </w:p>
  </w:endnote>
  <w:endnote w:type="continuationSeparator" w:id="0">
    <w:p w14:paraId="47D96634" w14:textId="77777777" w:rsidR="009A3C1F" w:rsidRPr="000A533D" w:rsidRDefault="009A3C1F">
      <w:r w:rsidRPr="000A53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C8F57" w14:textId="77777777" w:rsidR="00064002" w:rsidRPr="000A53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AD8FD" w14:textId="77777777" w:rsidR="00064002" w:rsidRPr="000A53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B3383" w14:textId="77777777" w:rsidR="00064002" w:rsidRPr="000A53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B55F8" w14:textId="77777777" w:rsidR="009A3C1F" w:rsidRPr="000A533D" w:rsidRDefault="009A3C1F">
      <w:r w:rsidRPr="000A533D">
        <w:separator/>
      </w:r>
    </w:p>
  </w:footnote>
  <w:footnote w:type="continuationSeparator" w:id="0">
    <w:p w14:paraId="59258C1C" w14:textId="77777777" w:rsidR="009A3C1F" w:rsidRPr="000A533D" w:rsidRDefault="009A3C1F">
      <w:r w:rsidRPr="000A533D">
        <w:continuationSeparator/>
      </w:r>
    </w:p>
  </w:footnote>
  <w:footnote w:id="1">
    <w:p w14:paraId="0557FBB3" w14:textId="4830DB6A" w:rsidR="00D27D9C" w:rsidRPr="000A533D" w:rsidRDefault="00D27D9C" w:rsidP="000A533D">
      <w:pPr>
        <w:pStyle w:val="FootnoteText"/>
        <w:ind w:left="567" w:hanging="567"/>
        <w:rPr>
          <w:sz w:val="24"/>
          <w:lang w:val="cs-CZ"/>
        </w:rPr>
      </w:pPr>
      <w:r w:rsidRPr="000A533D">
        <w:rPr>
          <w:rStyle w:val="FootnoteReference"/>
          <w:sz w:val="24"/>
          <w:lang w:val="cs-CZ"/>
        </w:rPr>
        <w:footnoteRef/>
      </w:r>
      <w:r w:rsidR="000A533D" w:rsidRPr="000A533D">
        <w:rPr>
          <w:sz w:val="24"/>
          <w:lang w:val="cs-CZ"/>
        </w:rPr>
        <w:t xml:space="preserve"> </w:t>
      </w:r>
      <w:r w:rsidR="000A533D" w:rsidRPr="000A533D">
        <w:rPr>
          <w:sz w:val="24"/>
          <w:lang w:val="cs-CZ"/>
        </w:rPr>
        <w:tab/>
      </w:r>
      <w:proofErr w:type="spellStart"/>
      <w:r w:rsidRPr="000A533D">
        <w:rPr>
          <w:sz w:val="24"/>
          <w:lang w:val="cs-CZ"/>
        </w:rPr>
        <w:t>Úř</w:t>
      </w:r>
      <w:proofErr w:type="spellEnd"/>
      <w:r w:rsidRPr="000A533D">
        <w:rPr>
          <w:sz w:val="24"/>
          <w:lang w:val="cs-CZ"/>
        </w:rPr>
        <w:t xml:space="preserve">. </w:t>
      </w:r>
      <w:proofErr w:type="spellStart"/>
      <w:r w:rsidRPr="000A533D">
        <w:rPr>
          <w:sz w:val="24"/>
          <w:lang w:val="cs-CZ"/>
        </w:rPr>
        <w:t>věst</w:t>
      </w:r>
      <w:proofErr w:type="spellEnd"/>
      <w:r w:rsidRPr="000A533D">
        <w:rPr>
          <w:sz w:val="24"/>
          <w:lang w:val="cs-CZ"/>
        </w:rPr>
        <w:t>. C</w:t>
      </w:r>
      <w:r w:rsidR="00B16D44">
        <w:rPr>
          <w:sz w:val="24"/>
          <w:lang w:val="cs-CZ"/>
        </w:rPr>
        <w:t xml:space="preserve"> 146</w:t>
      </w:r>
      <w:r w:rsidRPr="000A533D">
        <w:rPr>
          <w:sz w:val="24"/>
          <w:lang w:val="cs-CZ"/>
        </w:rPr>
        <w:t>, 27.4.2023</w:t>
      </w:r>
      <w:r w:rsidR="00C31DCC">
        <w:rPr>
          <w:sz w:val="24"/>
          <w:lang w:val="cs-CZ"/>
        </w:rPr>
        <w:t xml:space="preserve">, </w:t>
      </w:r>
      <w:r w:rsidR="00C31DCC" w:rsidRPr="000A533D">
        <w:rPr>
          <w:sz w:val="24"/>
          <w:lang w:val="cs-CZ"/>
        </w:rPr>
        <w:t>s. 41</w:t>
      </w:r>
      <w:r w:rsidRPr="000A533D">
        <w:rPr>
          <w:sz w:val="24"/>
          <w:lang w:val="cs-CZ"/>
        </w:rPr>
        <w:t>.</w:t>
      </w:r>
    </w:p>
  </w:footnote>
  <w:footnote w:id="2">
    <w:p w14:paraId="1B5FA88B" w14:textId="21E465EF" w:rsidR="00D27D9C" w:rsidRPr="000A533D" w:rsidRDefault="00D27D9C" w:rsidP="000A533D">
      <w:pPr>
        <w:pStyle w:val="FootnoteText"/>
        <w:ind w:left="567" w:hanging="567"/>
        <w:rPr>
          <w:sz w:val="24"/>
          <w:lang w:val="cs-CZ"/>
        </w:rPr>
      </w:pPr>
      <w:r w:rsidRPr="000A533D">
        <w:rPr>
          <w:rStyle w:val="FootnoteReference"/>
          <w:sz w:val="24"/>
          <w:lang w:val="cs-CZ"/>
        </w:rPr>
        <w:footnoteRef/>
      </w:r>
      <w:r w:rsidR="000A533D" w:rsidRPr="000A533D">
        <w:rPr>
          <w:sz w:val="24"/>
          <w:lang w:val="cs-CZ"/>
        </w:rPr>
        <w:t xml:space="preserve"> </w:t>
      </w:r>
      <w:r w:rsidR="000A533D" w:rsidRPr="000A533D">
        <w:rPr>
          <w:sz w:val="24"/>
          <w:lang w:val="cs-CZ"/>
        </w:rPr>
        <w:tab/>
      </w:r>
      <w:proofErr w:type="spellStart"/>
      <w:r w:rsidRPr="000A533D">
        <w:rPr>
          <w:sz w:val="24"/>
          <w:lang w:val="cs-CZ"/>
        </w:rPr>
        <w:t>Úř</w:t>
      </w:r>
      <w:proofErr w:type="spellEnd"/>
      <w:r w:rsidRPr="000A533D">
        <w:rPr>
          <w:sz w:val="24"/>
          <w:lang w:val="cs-CZ"/>
        </w:rPr>
        <w:t xml:space="preserve">. </w:t>
      </w:r>
      <w:proofErr w:type="spellStart"/>
      <w:r w:rsidRPr="000A533D">
        <w:rPr>
          <w:sz w:val="24"/>
          <w:lang w:val="cs-CZ"/>
        </w:rPr>
        <w:t>věst</w:t>
      </w:r>
      <w:proofErr w:type="spellEnd"/>
      <w:r w:rsidRPr="000A533D">
        <w:rPr>
          <w:sz w:val="24"/>
          <w:lang w:val="cs-CZ"/>
        </w:rPr>
        <w:t xml:space="preserve">. </w:t>
      </w:r>
      <w:r w:rsidR="00B16D44">
        <w:rPr>
          <w:sz w:val="24"/>
          <w:lang w:val="cs-CZ"/>
        </w:rPr>
        <w:t xml:space="preserve">C, </w:t>
      </w:r>
      <w:r w:rsidRPr="000A533D">
        <w:rPr>
          <w:sz w:val="24"/>
          <w:lang w:val="cs-CZ"/>
        </w:rPr>
        <w:t xml:space="preserve">C/2024/1777, 22.3.2024, ELI: </w:t>
      </w:r>
      <w:hyperlink r:id="rId1" w:tgtFrame="_blank" w:tooltip="Gives access to this document through its ELI URI." w:history="1">
        <w:r w:rsidRPr="000A533D">
          <w:rPr>
            <w:rStyle w:val="Hyperlink"/>
            <w:sz w:val="24"/>
            <w:lang w:val="cs-CZ"/>
          </w:rPr>
          <w:t>http://data.europa.eu/eli/C/2024/1777/oj</w:t>
        </w:r>
      </w:hyperlink>
      <w:r w:rsidRPr="000A533D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08AEC" w14:textId="77777777" w:rsidR="00064002" w:rsidRPr="000A53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D0264" w14:textId="77777777" w:rsidR="00064002" w:rsidRPr="000A53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650F8" w14:textId="77777777" w:rsidR="00064002" w:rsidRPr="000A53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0764643">
    <w:abstractNumId w:val="9"/>
  </w:num>
  <w:num w:numId="2" w16cid:durableId="834303546">
    <w:abstractNumId w:val="9"/>
  </w:num>
  <w:num w:numId="3" w16cid:durableId="1320962320">
    <w:abstractNumId w:val="7"/>
  </w:num>
  <w:num w:numId="4" w16cid:durableId="451870890">
    <w:abstractNumId w:val="7"/>
  </w:num>
  <w:num w:numId="5" w16cid:durableId="1255631551">
    <w:abstractNumId w:val="6"/>
  </w:num>
  <w:num w:numId="6" w16cid:durableId="65108680">
    <w:abstractNumId w:val="6"/>
  </w:num>
  <w:num w:numId="7" w16cid:durableId="1947955589">
    <w:abstractNumId w:val="5"/>
  </w:num>
  <w:num w:numId="8" w16cid:durableId="1353991588">
    <w:abstractNumId w:val="5"/>
  </w:num>
  <w:num w:numId="9" w16cid:durableId="423458873">
    <w:abstractNumId w:val="4"/>
  </w:num>
  <w:num w:numId="10" w16cid:durableId="656029523">
    <w:abstractNumId w:val="4"/>
  </w:num>
  <w:num w:numId="11" w16cid:durableId="1994751220">
    <w:abstractNumId w:val="8"/>
  </w:num>
  <w:num w:numId="12" w16cid:durableId="2106144653">
    <w:abstractNumId w:val="8"/>
  </w:num>
  <w:num w:numId="13" w16cid:durableId="1535771264">
    <w:abstractNumId w:val="3"/>
  </w:num>
  <w:num w:numId="14" w16cid:durableId="1117484176">
    <w:abstractNumId w:val="3"/>
  </w:num>
  <w:num w:numId="15" w16cid:durableId="1913664191">
    <w:abstractNumId w:val="2"/>
  </w:num>
  <w:num w:numId="16" w16cid:durableId="529148478">
    <w:abstractNumId w:val="2"/>
  </w:num>
  <w:num w:numId="17" w16cid:durableId="1168206403">
    <w:abstractNumId w:val="1"/>
  </w:num>
  <w:num w:numId="18" w16cid:durableId="1675915480">
    <w:abstractNumId w:val="1"/>
  </w:num>
  <w:num w:numId="19" w16cid:durableId="1181049970">
    <w:abstractNumId w:val="0"/>
  </w:num>
  <w:num w:numId="20" w16cid:durableId="1198588986">
    <w:abstractNumId w:val="0"/>
  </w:num>
  <w:num w:numId="21" w16cid:durableId="126362276">
    <w:abstractNumId w:val="9"/>
  </w:num>
  <w:num w:numId="22" w16cid:durableId="1748116078">
    <w:abstractNumId w:val="7"/>
  </w:num>
  <w:num w:numId="23" w16cid:durableId="732394083">
    <w:abstractNumId w:val="6"/>
  </w:num>
  <w:num w:numId="24" w16cid:durableId="933132018">
    <w:abstractNumId w:val="5"/>
  </w:num>
  <w:num w:numId="25" w16cid:durableId="1674527483">
    <w:abstractNumId w:val="4"/>
  </w:num>
  <w:num w:numId="26" w16cid:durableId="591739979">
    <w:abstractNumId w:val="8"/>
  </w:num>
  <w:num w:numId="27" w16cid:durableId="428700796">
    <w:abstractNumId w:val="3"/>
  </w:num>
  <w:num w:numId="28" w16cid:durableId="2082947860">
    <w:abstractNumId w:val="2"/>
  </w:num>
  <w:num w:numId="29" w16cid:durableId="637419206">
    <w:abstractNumId w:val="1"/>
  </w:num>
  <w:num w:numId="30" w16cid:durableId="348600818">
    <w:abstractNumId w:val="0"/>
  </w:num>
  <w:num w:numId="31" w16cid:durableId="804004977">
    <w:abstractNumId w:val="9"/>
  </w:num>
  <w:num w:numId="32" w16cid:durableId="699822823">
    <w:abstractNumId w:val="7"/>
  </w:num>
  <w:num w:numId="33" w16cid:durableId="1098911043">
    <w:abstractNumId w:val="6"/>
  </w:num>
  <w:num w:numId="34" w16cid:durableId="2034502131">
    <w:abstractNumId w:val="5"/>
  </w:num>
  <w:num w:numId="35" w16cid:durableId="483397319">
    <w:abstractNumId w:val="4"/>
  </w:num>
  <w:num w:numId="36" w16cid:durableId="2125415861">
    <w:abstractNumId w:val="8"/>
  </w:num>
  <w:num w:numId="37" w16cid:durableId="939293734">
    <w:abstractNumId w:val="3"/>
  </w:num>
  <w:num w:numId="38" w16cid:durableId="36441523">
    <w:abstractNumId w:val="2"/>
  </w:num>
  <w:num w:numId="39" w16cid:durableId="621378999">
    <w:abstractNumId w:val="1"/>
  </w:num>
  <w:num w:numId="40" w16cid:durableId="1664746982">
    <w:abstractNumId w:val="0"/>
  </w:num>
  <w:num w:numId="41" w16cid:durableId="525337423">
    <w:abstractNumId w:val="10"/>
  </w:num>
  <w:num w:numId="42" w16cid:durableId="2139646790">
    <w:abstractNumId w:val="10"/>
  </w:num>
  <w:num w:numId="43" w16cid:durableId="1848251869">
    <w:abstractNumId w:val="10"/>
  </w:num>
  <w:num w:numId="44" w16cid:durableId="4955369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3/2026"/>
    <w:docVar w:name="dvlangue" w:val="CS"/>
    <w:docVar w:name="dvnumam" w:val="0"/>
    <w:docVar w:name="dvpe" w:val="785.254"/>
    <w:docVar w:name="dvrapporteur" w:val="Zpravodaj: "/>
    <w:docVar w:name="dvtitre" w:val="Legislativní usnesení Evropského parlamentu ze dne 26. března 2026 k postoji Rady v prvním čtení k přijetí směrnice Evropského parlamentu a Rady, kterou se mění směrnice 2000/60/ES, kterou se stanoví rámec pro činnost Společenství v oblasti vodní politiky, směrnice 2006/118/ES o ochraně podzemních vod před znečištěním a zhoršováním stavu a směrnice 2008/105/ES o normách environmentální kvality v oblasti vodní politiky(14144/2025 – C10-0065/2026 – 2022/0344(COD))"/>
  </w:docVars>
  <w:rsids>
    <w:rsidRoot w:val="009A3C1F"/>
    <w:rsid w:val="00002272"/>
    <w:rsid w:val="00064002"/>
    <w:rsid w:val="000677B9"/>
    <w:rsid w:val="000831BA"/>
    <w:rsid w:val="000A42CC"/>
    <w:rsid w:val="000A533D"/>
    <w:rsid w:val="000E7DD9"/>
    <w:rsid w:val="0010095E"/>
    <w:rsid w:val="00125B37"/>
    <w:rsid w:val="00180A5B"/>
    <w:rsid w:val="00187494"/>
    <w:rsid w:val="001E3155"/>
    <w:rsid w:val="001F32AE"/>
    <w:rsid w:val="0025781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FB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C1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D44"/>
    <w:rsid w:val="00B22876"/>
    <w:rsid w:val="00B558F0"/>
    <w:rsid w:val="00BD48FE"/>
    <w:rsid w:val="00BD7BD8"/>
    <w:rsid w:val="00BE6ADC"/>
    <w:rsid w:val="00C05BFE"/>
    <w:rsid w:val="00C23CD4"/>
    <w:rsid w:val="00C31DCC"/>
    <w:rsid w:val="00C3690B"/>
    <w:rsid w:val="00C61C0C"/>
    <w:rsid w:val="00C941CB"/>
    <w:rsid w:val="00CC2357"/>
    <w:rsid w:val="00CF071A"/>
    <w:rsid w:val="00D058B8"/>
    <w:rsid w:val="00D137CE"/>
    <w:rsid w:val="00D27D9C"/>
    <w:rsid w:val="00D56C11"/>
    <w:rsid w:val="00D834A0"/>
    <w:rsid w:val="00D872DF"/>
    <w:rsid w:val="00D91E21"/>
    <w:rsid w:val="00DA7FCD"/>
    <w:rsid w:val="00E365E1"/>
    <w:rsid w:val="00E820A4"/>
    <w:rsid w:val="00EA754B"/>
    <w:rsid w:val="00EB006A"/>
    <w:rsid w:val="00EB4772"/>
    <w:rsid w:val="00ED169E"/>
    <w:rsid w:val="00ED3D94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FEC4D8"/>
  <w15:chartTrackingRefBased/>
  <w15:docId w15:val="{E60DBC67-2F83-465E-AF41-B88EFA98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27D9C"/>
    <w:pPr>
      <w:spacing w:before="480" w:after="240"/>
    </w:pPr>
  </w:style>
  <w:style w:type="paragraph" w:customStyle="1" w:styleId="NormalBold">
    <w:name w:val="NormalBold"/>
    <w:basedOn w:val="Normal"/>
    <w:rsid w:val="00D27D9C"/>
    <w:rPr>
      <w:b/>
    </w:rPr>
  </w:style>
  <w:style w:type="paragraph" w:customStyle="1" w:styleId="NormalHanging12a">
    <w:name w:val="NormalHanging12a"/>
    <w:basedOn w:val="Normal"/>
    <w:rsid w:val="00D27D9C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27D9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C31D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1DC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1DC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C31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1DCC"/>
    <w:rPr>
      <w:b/>
      <w:bCs/>
      <w:lang w:val="cs-CZ"/>
    </w:rPr>
  </w:style>
  <w:style w:type="paragraph" w:styleId="Revision">
    <w:name w:val="Revision"/>
    <w:hidden/>
    <w:uiPriority w:val="99"/>
    <w:semiHidden/>
    <w:rsid w:val="00C31DC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7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2026-03-26T10:55:00Z</dcterms:created>
  <dcterms:modified xsi:type="dcterms:W3CDTF">2026-03-26T10:55:00Z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A10-0063/2026</vt:lpwstr>
  </property>
  <property fmtid="{D5CDD505-2E9C-101B-9397-08002B2CF9AE}" pid="4" name="&lt;Type&gt;">
    <vt:lpwstr>RR</vt:lpwstr>
  </property>
</Properties>
</file>