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085B" w14:paraId="0C3387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8A1D26" w14:textId="430211DF" w:rsidR="00751A4A" w:rsidRPr="00B8085B" w:rsidRDefault="00324F2B" w:rsidP="0010095E">
            <w:pPr>
              <w:pStyle w:val="EPName"/>
            </w:pPr>
            <w:r>
              <w:t xml:space="preserve"> </w:t>
            </w:r>
            <w:r w:rsidR="005773D3" w:rsidRPr="00B8085B">
              <w:t>Evropský parlament</w:t>
            </w:r>
          </w:p>
          <w:p w14:paraId="188D19E4" w14:textId="77777777" w:rsidR="00751A4A" w:rsidRPr="00B808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085B">
              <w:t>2024</w:t>
            </w:r>
            <w:r w:rsidR="00817416" w:rsidRPr="00B8085B">
              <w:t>-202</w:t>
            </w:r>
            <w:r w:rsidRPr="00B8085B">
              <w:t>9</w:t>
            </w:r>
          </w:p>
        </w:tc>
        <w:tc>
          <w:tcPr>
            <w:tcW w:w="2268" w:type="dxa"/>
            <w:shd w:val="clear" w:color="auto" w:fill="auto"/>
          </w:tcPr>
          <w:p w14:paraId="7827068F" w14:textId="77777777" w:rsidR="00751A4A" w:rsidRPr="00B8085B" w:rsidRDefault="00187494" w:rsidP="0010095E">
            <w:pPr>
              <w:pStyle w:val="EPLogo"/>
            </w:pPr>
            <w:r w:rsidRPr="00B8085B">
              <w:rPr>
                <w:noProof/>
                <w:lang w:eastAsia="ja-JP"/>
              </w:rPr>
              <w:drawing>
                <wp:inline distT="0" distB="0" distL="0" distR="0" wp14:anchorId="1ACBDA53" wp14:editId="198371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C7918" w14:textId="77777777" w:rsidR="00D058B8" w:rsidRPr="00B8085B" w:rsidRDefault="00D058B8" w:rsidP="004C5D52">
      <w:pPr>
        <w:pStyle w:val="LineTop"/>
      </w:pPr>
    </w:p>
    <w:p w14:paraId="1DEE501C" w14:textId="77777777" w:rsidR="00680577" w:rsidRPr="00B8085B" w:rsidRDefault="005773D3" w:rsidP="00680577">
      <w:pPr>
        <w:pStyle w:val="EPBodyTA1"/>
      </w:pPr>
      <w:r w:rsidRPr="00B8085B">
        <w:t>PŘIJATÉ TEXTY</w:t>
      </w:r>
    </w:p>
    <w:p w14:paraId="5A83F319" w14:textId="77777777" w:rsidR="00D058B8" w:rsidRPr="00B8085B" w:rsidRDefault="00D058B8" w:rsidP="00D058B8">
      <w:pPr>
        <w:pStyle w:val="LineBottom"/>
      </w:pPr>
    </w:p>
    <w:p w14:paraId="1311F760" w14:textId="3E955345" w:rsidR="005773D3" w:rsidRPr="00B8085B" w:rsidRDefault="005773D3" w:rsidP="005773D3">
      <w:pPr>
        <w:pStyle w:val="ATHeading1"/>
      </w:pPr>
      <w:bookmarkStart w:id="0" w:name="TANumber"/>
      <w:r w:rsidRPr="00B8085B">
        <w:t>P10_TA(2026)00</w:t>
      </w:r>
      <w:r w:rsidR="000943C6">
        <w:t>94</w:t>
      </w:r>
      <w:bookmarkEnd w:id="0"/>
    </w:p>
    <w:p w14:paraId="334BE9EE" w14:textId="24E5E276" w:rsidR="005773D3" w:rsidRPr="00B8085B" w:rsidRDefault="00B8085B" w:rsidP="005773D3">
      <w:pPr>
        <w:pStyle w:val="ATHeading2"/>
      </w:pPr>
      <w:r w:rsidRPr="00461FA7">
        <w:t>Boj proti korupci</w:t>
      </w:r>
    </w:p>
    <w:p w14:paraId="025A10F4" w14:textId="15D7FBD6" w:rsidR="005773D3" w:rsidRPr="00B8085B" w:rsidRDefault="005773D3" w:rsidP="005773D3">
      <w:pPr>
        <w:rPr>
          <w:i/>
          <w:vanish/>
        </w:rPr>
      </w:pPr>
      <w:r w:rsidRPr="00B8085B">
        <w:rPr>
          <w:i/>
        </w:rPr>
        <w:fldChar w:fldCharType="begin"/>
      </w:r>
      <w:r w:rsidRPr="00B8085B">
        <w:rPr>
          <w:i/>
        </w:rPr>
        <w:instrText xml:space="preserve"> TC"(</w:instrText>
      </w:r>
      <w:bookmarkStart w:id="1" w:name="DocNumber"/>
      <w:r w:rsidRPr="00B8085B">
        <w:rPr>
          <w:i/>
        </w:rPr>
        <w:instrText>A9-0048/</w:instrText>
      </w:r>
      <w:r w:rsidRPr="00136D79">
        <w:rPr>
          <w:i/>
        </w:rPr>
        <w:instrText>2024</w:instrText>
      </w:r>
      <w:bookmarkEnd w:id="1"/>
      <w:r w:rsidRPr="00136D79">
        <w:rPr>
          <w:i/>
        </w:rPr>
        <w:instrText xml:space="preserve"> - Zpravodajka: </w:instrText>
      </w:r>
      <w:r w:rsidR="00136D79" w:rsidRPr="005B0714">
        <w:rPr>
          <w:i/>
        </w:rPr>
        <w:instrText>Raquel García Hermida-Van Der Walle</w:instrText>
      </w:r>
      <w:r w:rsidRPr="00136D79">
        <w:rPr>
          <w:i/>
        </w:rPr>
        <w:instrText>)"\l3 \n&gt; \* MERGEFORMAT</w:instrText>
      </w:r>
      <w:r w:rsidRPr="00B8085B">
        <w:rPr>
          <w:i/>
        </w:rPr>
        <w:instrText xml:space="preserve"> </w:instrText>
      </w:r>
      <w:r w:rsidRPr="00B8085B">
        <w:rPr>
          <w:i/>
        </w:rPr>
        <w:fldChar w:fldCharType="end"/>
      </w:r>
    </w:p>
    <w:p w14:paraId="54490AAD" w14:textId="77777777" w:rsidR="005773D3" w:rsidRPr="00B8085B" w:rsidRDefault="005773D3" w:rsidP="005773D3">
      <w:pPr>
        <w:rPr>
          <w:vanish/>
        </w:rPr>
      </w:pPr>
      <w:bookmarkStart w:id="2" w:name="Commission"/>
      <w:r w:rsidRPr="00B8085B">
        <w:rPr>
          <w:vanish/>
        </w:rPr>
        <w:t>Výbor pro občanské svobody, spravedlnost a vnitřní věci</w:t>
      </w:r>
      <w:bookmarkEnd w:id="2"/>
    </w:p>
    <w:p w14:paraId="112B64DF" w14:textId="77777777" w:rsidR="005773D3" w:rsidRPr="00B8085B" w:rsidRDefault="005773D3" w:rsidP="005773D3">
      <w:pPr>
        <w:rPr>
          <w:vanish/>
        </w:rPr>
      </w:pPr>
      <w:bookmarkStart w:id="3" w:name="PE"/>
      <w:r w:rsidRPr="00B8085B">
        <w:rPr>
          <w:vanish/>
        </w:rPr>
        <w:t>PE753.573</w:t>
      </w:r>
      <w:bookmarkEnd w:id="3"/>
    </w:p>
    <w:p w14:paraId="48C97735" w14:textId="35906B76" w:rsidR="005773D3" w:rsidRPr="00B8085B" w:rsidRDefault="005773D3" w:rsidP="005773D3">
      <w:pPr>
        <w:pStyle w:val="ATHeading3"/>
      </w:pPr>
      <w:bookmarkStart w:id="4" w:name="Sujet"/>
      <w:r w:rsidRPr="00B8085B">
        <w:t>Legislativní usnesení Evropského parlamentu ze dne 2</w:t>
      </w:r>
      <w:r w:rsidR="00CF42B8">
        <w:t>6</w:t>
      </w:r>
      <w:r w:rsidRPr="00B8085B">
        <w:t>. března 2026 o návrhu směrnice Evropského parlamentu a Rady o boji proti korupci, kterou se nahrazuje rámcové rozhodnutí Rady 2003/568/SVV a Úmluva o boji proti korupci úředníků Evropských společenství nebo členských států Evropské unie a kterou se mění směrnice Evropského parlamentu a Rady (EU) 2017/1371</w:t>
      </w:r>
      <w:bookmarkEnd w:id="4"/>
      <w:r w:rsidRPr="00B8085B">
        <w:t xml:space="preserve"> </w:t>
      </w:r>
      <w:bookmarkStart w:id="5" w:name="References"/>
      <w:r w:rsidRPr="00B8085B">
        <w:t>(</w:t>
      </w:r>
      <w:proofErr w:type="gramStart"/>
      <w:r w:rsidRPr="00B8085B">
        <w:t>COM(</w:t>
      </w:r>
      <w:proofErr w:type="gramEnd"/>
      <w:r w:rsidRPr="00B8085B">
        <w:t>2023)0234 – C9-0162/2023 – 2023/0135(COD))</w:t>
      </w:r>
      <w:bookmarkEnd w:id="5"/>
    </w:p>
    <w:p w14:paraId="20EF6A60" w14:textId="77777777" w:rsidR="00AF31F7" w:rsidRPr="00B8085B" w:rsidRDefault="00AF31F7" w:rsidP="00AF31F7">
      <w:pPr>
        <w:pStyle w:val="NormalBold"/>
      </w:pPr>
      <w:r w:rsidRPr="00B8085B">
        <w:t>(Řádný legislativní postup: první čtení)</w:t>
      </w:r>
    </w:p>
    <w:p w14:paraId="1BD0AA56" w14:textId="77777777" w:rsidR="00AF31F7" w:rsidRPr="00B8085B" w:rsidRDefault="00AF31F7" w:rsidP="00AF31F7">
      <w:pPr>
        <w:pStyle w:val="EPComma"/>
      </w:pPr>
      <w:r w:rsidRPr="00B8085B">
        <w:rPr>
          <w:i/>
        </w:rPr>
        <w:t>Evropský parlament</w:t>
      </w:r>
      <w:r w:rsidRPr="00B8085B">
        <w:t>,</w:t>
      </w:r>
    </w:p>
    <w:p w14:paraId="2F236755" w14:textId="77777777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>s ohledem na návrh Komise předložený Evropskému parlamentu a Radě (</w:t>
      </w:r>
      <w:proofErr w:type="gramStart"/>
      <w:r w:rsidRPr="00B8085B">
        <w:t>COM(</w:t>
      </w:r>
      <w:proofErr w:type="gramEnd"/>
      <w:r w:rsidRPr="00B8085B">
        <w:t>2023)0234),</w:t>
      </w:r>
    </w:p>
    <w:p w14:paraId="7C3FE34B" w14:textId="153969CD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>s ohledem na čl. 294 odst. 2</w:t>
      </w:r>
      <w:r w:rsidR="00136D79">
        <w:t>,</w:t>
      </w:r>
      <w:r w:rsidRPr="00B8085B">
        <w:t xml:space="preserve"> čl. 82 odst. 1 písm. d) a čl. 83 odst. 1 a 2 Smlouvy o</w:t>
      </w:r>
      <w:r w:rsidR="00E753CB" w:rsidRPr="00CE48F5">
        <w:rPr>
          <w:bCs/>
          <w:iCs/>
        </w:rPr>
        <w:t> </w:t>
      </w:r>
      <w:r w:rsidRPr="00B8085B">
        <w:t xml:space="preserve">fungování Evropské unie, v </w:t>
      </w:r>
      <w:proofErr w:type="gramStart"/>
      <w:r w:rsidRPr="00B8085B">
        <w:t>souladu</w:t>
      </w:r>
      <w:proofErr w:type="gramEnd"/>
      <w:r w:rsidRPr="00B8085B">
        <w:t xml:space="preserve"> s</w:t>
      </w:r>
      <w:r w:rsidR="00CE48F5">
        <w:t>e</w:t>
      </w:r>
      <w:r w:rsidRPr="00B8085B">
        <w:t xml:space="preserve"> </w:t>
      </w:r>
      <w:r w:rsidR="00CE48F5">
        <w:t>kterými</w:t>
      </w:r>
      <w:r w:rsidRPr="00B8085B">
        <w:t xml:space="preserve"> Komise předložila svůj návrh Parlamentu (C9-0162/2023),</w:t>
      </w:r>
    </w:p>
    <w:p w14:paraId="39FFB606" w14:textId="77777777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>s ohledem na čl. 294 odst. 3 Smlouvy o fungování Evropské unie,</w:t>
      </w:r>
    </w:p>
    <w:p w14:paraId="21F6CEBC" w14:textId="6B07297F" w:rsidR="00AF31F7" w:rsidRDefault="00AF31F7" w:rsidP="00AF31F7">
      <w:pPr>
        <w:pStyle w:val="NormalHanging12a"/>
        <w:rPr>
          <w:bCs/>
          <w:iCs/>
        </w:rPr>
      </w:pPr>
      <w:r w:rsidRPr="00B8085B">
        <w:t>–</w:t>
      </w:r>
      <w:r w:rsidRPr="00B8085B">
        <w:tab/>
        <w:t xml:space="preserve">s ohledem na </w:t>
      </w:r>
      <w:r w:rsidRPr="005B0714">
        <w:rPr>
          <w:bCs/>
          <w:iCs/>
        </w:rPr>
        <w:t>odůvodněná stanoviska předložená</w:t>
      </w:r>
      <w:r w:rsidRPr="00CE48F5">
        <w:rPr>
          <w:bCs/>
          <w:iCs/>
        </w:rPr>
        <w:t xml:space="preserve"> v rámci protokolu č. 2 o používání zásad subsidiarity a proporcionality </w:t>
      </w:r>
      <w:r w:rsidRPr="005B0714">
        <w:rPr>
          <w:bCs/>
          <w:iCs/>
        </w:rPr>
        <w:t>švédským parlamentem a italskou Poslaneckou sněmovnou</w:t>
      </w:r>
      <w:r w:rsidR="00F10856">
        <w:rPr>
          <w:bCs/>
          <w:iCs/>
        </w:rPr>
        <w:t xml:space="preserve"> uvádějící</w:t>
      </w:r>
      <w:r w:rsidRPr="00CE48F5">
        <w:rPr>
          <w:bCs/>
          <w:iCs/>
        </w:rPr>
        <w:t>, že návrh legislativního aktu není v souladu se zásadou subsidiarity,</w:t>
      </w:r>
    </w:p>
    <w:p w14:paraId="5FE9C56C" w14:textId="3C3FEB74" w:rsidR="00136D79" w:rsidRDefault="00136D79" w:rsidP="00AF31F7">
      <w:pPr>
        <w:pStyle w:val="NormalHanging12a"/>
        <w:rPr>
          <w:bCs/>
          <w:iCs/>
        </w:rPr>
      </w:pPr>
      <w:r>
        <w:rPr>
          <w:bCs/>
          <w:iCs/>
        </w:rPr>
        <w:t>–</w:t>
      </w:r>
      <w:r>
        <w:rPr>
          <w:bCs/>
          <w:iCs/>
        </w:rPr>
        <w:tab/>
      </w:r>
      <w:r w:rsidRPr="00136D79">
        <w:rPr>
          <w:bCs/>
          <w:iCs/>
        </w:rPr>
        <w:t>s ohledem na stanovisko Evropského hospodářského a sociálního výboru</w:t>
      </w:r>
      <w:r w:rsidR="003B0F65">
        <w:rPr>
          <w:bCs/>
          <w:iCs/>
        </w:rPr>
        <w:t xml:space="preserve"> ze dne 25.</w:t>
      </w:r>
      <w:r w:rsidR="00E753CB" w:rsidRPr="00CE48F5">
        <w:rPr>
          <w:bCs/>
          <w:iCs/>
        </w:rPr>
        <w:t> </w:t>
      </w:r>
      <w:r w:rsidR="003B0F65">
        <w:rPr>
          <w:bCs/>
          <w:iCs/>
        </w:rPr>
        <w:t>října 2023</w:t>
      </w:r>
      <w:r w:rsidRPr="003C424D">
        <w:rPr>
          <w:rStyle w:val="FootnoteReference"/>
        </w:rPr>
        <w:footnoteReference w:id="1"/>
      </w:r>
      <w:r>
        <w:rPr>
          <w:bCs/>
          <w:iCs/>
        </w:rPr>
        <w:t>,</w:t>
      </w:r>
    </w:p>
    <w:p w14:paraId="529D363B" w14:textId="5645284B" w:rsidR="00F022DA" w:rsidRDefault="00F022DA" w:rsidP="00AF31F7">
      <w:pPr>
        <w:pStyle w:val="NormalHanging12a"/>
        <w:rPr>
          <w:bCs/>
          <w:iCs/>
        </w:rPr>
      </w:pPr>
      <w:r>
        <w:rPr>
          <w:bCs/>
          <w:iCs/>
        </w:rPr>
        <w:t>–</w:t>
      </w:r>
      <w:r>
        <w:rPr>
          <w:bCs/>
          <w:iCs/>
        </w:rPr>
        <w:tab/>
      </w:r>
      <w:r w:rsidRPr="00136D79">
        <w:rPr>
          <w:bCs/>
          <w:iCs/>
        </w:rPr>
        <w:t xml:space="preserve">s ohledem na stanovisko </w:t>
      </w:r>
      <w:r w:rsidRPr="00F022DA">
        <w:rPr>
          <w:bCs/>
          <w:iCs/>
        </w:rPr>
        <w:t>Výboru regionů</w:t>
      </w:r>
      <w:r w:rsidR="00377A33">
        <w:rPr>
          <w:bCs/>
          <w:iCs/>
        </w:rPr>
        <w:t xml:space="preserve"> ze dne 29. listopadu 2023</w:t>
      </w:r>
      <w:r w:rsidRPr="003C424D">
        <w:rPr>
          <w:rStyle w:val="FootnoteReference"/>
        </w:rPr>
        <w:footnoteReference w:id="2"/>
      </w:r>
      <w:r>
        <w:rPr>
          <w:bCs/>
          <w:iCs/>
        </w:rPr>
        <w:t>,</w:t>
      </w:r>
    </w:p>
    <w:p w14:paraId="654A0556" w14:textId="68472952" w:rsidR="00813786" w:rsidRPr="00CE48F5" w:rsidRDefault="00813786" w:rsidP="00AF31F7">
      <w:pPr>
        <w:pStyle w:val="NormalHanging12a"/>
        <w:rPr>
          <w:bCs/>
          <w:iCs/>
        </w:rPr>
      </w:pPr>
      <w:r>
        <w:rPr>
          <w:bCs/>
          <w:iCs/>
        </w:rPr>
        <w:t>–</w:t>
      </w:r>
      <w:r>
        <w:rPr>
          <w:bCs/>
          <w:iCs/>
        </w:rPr>
        <w:tab/>
      </w:r>
      <w:r w:rsidRPr="00813786">
        <w:rPr>
          <w:bCs/>
          <w:iCs/>
        </w:rPr>
        <w:t>s ohledem na předběžnou dohodu přijatou příslušným výborem podle čl. 7</w:t>
      </w:r>
      <w:r>
        <w:rPr>
          <w:bCs/>
          <w:iCs/>
        </w:rPr>
        <w:t>5</w:t>
      </w:r>
      <w:r w:rsidRPr="00813786">
        <w:rPr>
          <w:bCs/>
          <w:iCs/>
        </w:rPr>
        <w:t xml:space="preserve"> odst. 4 </w:t>
      </w:r>
      <w:r w:rsidRPr="00813786">
        <w:rPr>
          <w:bCs/>
          <w:iCs/>
        </w:rPr>
        <w:lastRenderedPageBreak/>
        <w:t xml:space="preserve">jednacího řádu a s ohledem na to, že se zástupce Rady dopisem ze dne </w:t>
      </w:r>
      <w:r w:rsidR="00AC2819">
        <w:rPr>
          <w:bCs/>
          <w:iCs/>
        </w:rPr>
        <w:t>10</w:t>
      </w:r>
      <w:r w:rsidRPr="00813786">
        <w:rPr>
          <w:bCs/>
          <w:iCs/>
        </w:rPr>
        <w:t xml:space="preserve">. </w:t>
      </w:r>
      <w:r w:rsidR="00AC2819">
        <w:rPr>
          <w:bCs/>
          <w:iCs/>
        </w:rPr>
        <w:t>prosince</w:t>
      </w:r>
      <w:r w:rsidRPr="00813786">
        <w:rPr>
          <w:bCs/>
          <w:iCs/>
        </w:rPr>
        <w:t xml:space="preserve"> 202</w:t>
      </w:r>
      <w:r w:rsidR="00AC2819">
        <w:rPr>
          <w:bCs/>
          <w:iCs/>
        </w:rPr>
        <w:t>5</w:t>
      </w:r>
      <w:r w:rsidRPr="00813786">
        <w:rPr>
          <w:bCs/>
          <w:iCs/>
        </w:rPr>
        <w:t xml:space="preserve"> zavázal schválit postoj Parlamentu v souladu s čl. 294 odst. 4 Smlouvy o</w:t>
      </w:r>
      <w:r w:rsidR="00F830B4" w:rsidRPr="00B8085B">
        <w:t> </w:t>
      </w:r>
      <w:r w:rsidRPr="00813786">
        <w:rPr>
          <w:bCs/>
          <w:iCs/>
        </w:rPr>
        <w:t>fungování Evropské unie,</w:t>
      </w:r>
    </w:p>
    <w:p w14:paraId="1465D1E0" w14:textId="14E483F5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 xml:space="preserve">s ohledem na článek </w:t>
      </w:r>
      <w:r w:rsidR="00A323ED">
        <w:t>60</w:t>
      </w:r>
      <w:r w:rsidRPr="00B8085B">
        <w:t xml:space="preserve"> jednacího řádu,</w:t>
      </w:r>
    </w:p>
    <w:p w14:paraId="21312E1B" w14:textId="77777777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>s ohledem na stanovisko Výboru pro rozpočtovou kontrolu,</w:t>
      </w:r>
    </w:p>
    <w:p w14:paraId="76C29055" w14:textId="77777777" w:rsidR="00AF31F7" w:rsidRPr="00B8085B" w:rsidRDefault="00AF31F7" w:rsidP="00AF31F7">
      <w:pPr>
        <w:pStyle w:val="NormalHanging12a"/>
      </w:pPr>
      <w:r w:rsidRPr="00B8085B">
        <w:t>–</w:t>
      </w:r>
      <w:r w:rsidRPr="00B8085B">
        <w:tab/>
        <w:t>s ohledem na zprávu Výboru pro občanské svobody, spravedlnost a vnitřní věci (A9-0048/2024),</w:t>
      </w:r>
    </w:p>
    <w:p w14:paraId="2127F482" w14:textId="77777777" w:rsidR="00AF31F7" w:rsidRPr="00B8085B" w:rsidRDefault="00AF31F7" w:rsidP="00AF31F7">
      <w:pPr>
        <w:pStyle w:val="NormalHanging12a"/>
      </w:pPr>
      <w:r w:rsidRPr="00B8085B">
        <w:t>1.</w:t>
      </w:r>
      <w:r w:rsidRPr="00B8085B">
        <w:tab/>
        <w:t xml:space="preserve">přijímá níže uvedený postoj v prvním čtení; </w:t>
      </w:r>
    </w:p>
    <w:p w14:paraId="14DBDACC" w14:textId="77777777" w:rsidR="00AF31F7" w:rsidRPr="00B8085B" w:rsidRDefault="00AF31F7" w:rsidP="00AF31F7">
      <w:pPr>
        <w:pStyle w:val="NormalHanging12a"/>
      </w:pPr>
      <w:r w:rsidRPr="00B8085B">
        <w:t>2.</w:t>
      </w:r>
      <w:r w:rsidRPr="00B8085B">
        <w:tab/>
        <w:t>vyzývá Komisi, aby věc znovu postoupila Parlamentu, jestliže svůj návrh nahradí jiným textem, podstatně jej změní nebo má v úmyslu jej podstatně změnit;</w:t>
      </w:r>
    </w:p>
    <w:p w14:paraId="3EFC8C65" w14:textId="1FC2B055" w:rsidR="00AF31F7" w:rsidRPr="00B8085B" w:rsidRDefault="00AF31F7" w:rsidP="001214E1">
      <w:pPr>
        <w:pStyle w:val="NormalHanging12a"/>
      </w:pPr>
      <w:r w:rsidRPr="00B8085B">
        <w:t>3.</w:t>
      </w:r>
      <w:r w:rsidRPr="00B8085B">
        <w:tab/>
        <w:t>pověřuje svou předsedkyni, aby předala postoj Parlamentu Radě a Komisi, jakož i vnitrostátním parlamentům.</w:t>
      </w:r>
    </w:p>
    <w:p w14:paraId="79A2CF03" w14:textId="77777777" w:rsidR="00AF31F7" w:rsidRPr="00B8085B" w:rsidRDefault="00AF31F7" w:rsidP="00AF31F7"/>
    <w:p w14:paraId="1CFA9A57" w14:textId="77777777" w:rsidR="00A323ED" w:rsidRDefault="00A323ED" w:rsidP="00AF31F7">
      <w:pPr>
        <w:pStyle w:val="AmNumberTabs"/>
        <w:sectPr w:rsidR="00A323ED" w:rsidSect="00B226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C525EA" w14:textId="77777777" w:rsidR="004657FA" w:rsidRPr="00CD5C0C" w:rsidRDefault="004657FA" w:rsidP="004657F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D5C0C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CD5C0C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CD5C0C">
        <w:rPr>
          <w:rFonts w:eastAsia="Calibri"/>
          <w:b/>
          <w:bCs/>
          <w:color w:val="000000"/>
          <w:szCs w:val="24"/>
        </w:rPr>
        <w:t>2023)0135</w:t>
      </w:r>
    </w:p>
    <w:p w14:paraId="1072EC5F" w14:textId="515E7431" w:rsidR="004657FA" w:rsidRDefault="004657FA" w:rsidP="002811D2">
      <w:pPr>
        <w:pStyle w:val="AmNumberTabs"/>
        <w:rPr>
          <w:rFonts w:eastAsia="Calibri"/>
          <w:szCs w:val="22"/>
          <w:lang w:eastAsia="en-US"/>
        </w:rPr>
      </w:pPr>
      <w:r w:rsidRPr="004657FA">
        <w:rPr>
          <w:rFonts w:eastAsia="Calibri"/>
          <w:bCs/>
          <w:szCs w:val="24"/>
        </w:rPr>
        <w:t>Postoj Evropského parlamentu přijatý v prvním čtení dne 2</w:t>
      </w:r>
      <w:r>
        <w:rPr>
          <w:rFonts w:eastAsia="Calibri"/>
          <w:bCs/>
          <w:szCs w:val="24"/>
        </w:rPr>
        <w:t>6</w:t>
      </w:r>
      <w:r w:rsidRPr="004657FA">
        <w:rPr>
          <w:rFonts w:eastAsia="Calibri"/>
          <w:bCs/>
          <w:szCs w:val="24"/>
        </w:rPr>
        <w:t xml:space="preserve">. </w:t>
      </w:r>
      <w:r>
        <w:rPr>
          <w:rFonts w:eastAsia="Calibri"/>
          <w:bCs/>
          <w:szCs w:val="24"/>
        </w:rPr>
        <w:t>března 2026</w:t>
      </w:r>
      <w:r w:rsidRPr="004657FA">
        <w:rPr>
          <w:rFonts w:eastAsia="Calibri"/>
          <w:bCs/>
          <w:szCs w:val="24"/>
        </w:rPr>
        <w:t xml:space="preserve"> k</w:t>
      </w:r>
      <w:r w:rsidR="002811D2">
        <w:rPr>
          <w:rFonts w:eastAsia="Calibri"/>
          <w:bCs/>
          <w:szCs w:val="24"/>
        </w:rPr>
        <w:t> </w:t>
      </w:r>
      <w:r w:rsidRPr="004657FA">
        <w:rPr>
          <w:rFonts w:eastAsia="Calibri"/>
          <w:bCs/>
          <w:szCs w:val="24"/>
        </w:rPr>
        <w:t>přijetí</w:t>
      </w:r>
      <w:r w:rsidR="002811D2">
        <w:rPr>
          <w:rFonts w:eastAsia="Calibri"/>
          <w:bCs/>
          <w:szCs w:val="24"/>
        </w:rPr>
        <w:t xml:space="preserve"> </w:t>
      </w:r>
      <w:r w:rsidR="002811D2" w:rsidRPr="002811D2">
        <w:rPr>
          <w:rFonts w:eastAsia="Calibri"/>
          <w:bCs/>
          <w:szCs w:val="22"/>
          <w:lang w:eastAsia="en-US"/>
        </w:rPr>
        <w:t>směrnice Evropského parlamentu a Rady</w:t>
      </w:r>
      <w:r w:rsidR="002811D2" w:rsidRPr="004657FA">
        <w:rPr>
          <w:rFonts w:eastAsia="Calibri"/>
          <w:b w:val="0"/>
          <w:szCs w:val="22"/>
          <w:lang w:eastAsia="en-US"/>
        </w:rPr>
        <w:t xml:space="preserve"> </w:t>
      </w:r>
      <w:r w:rsidRPr="004657FA">
        <w:rPr>
          <w:rFonts w:eastAsia="Calibri"/>
          <w:szCs w:val="22"/>
          <w:lang w:eastAsia="en-US"/>
        </w:rPr>
        <w:t>(EU) 2026/…</w:t>
      </w:r>
      <w:r w:rsidR="002811D2">
        <w:rPr>
          <w:rFonts w:eastAsia="Calibri"/>
          <w:b w:val="0"/>
          <w:szCs w:val="22"/>
          <w:lang w:eastAsia="en-US"/>
        </w:rPr>
        <w:t xml:space="preserve"> </w:t>
      </w:r>
      <w:r w:rsidRPr="004657FA">
        <w:rPr>
          <w:rFonts w:eastAsia="Calibri"/>
          <w:szCs w:val="22"/>
          <w:lang w:eastAsia="en-US"/>
        </w:rPr>
        <w:t>o boji proti korupci, kterou se nahrazuje rámcové rozhodnutí Rady 2003/568/SVV a Úmluva o boji proti korupci úředníků Evropských společenství nebo členských států Evropské unie a kterou se mění směrnice Evropského parlamentu a Rady (EU) 2017/1371</w:t>
      </w:r>
    </w:p>
    <w:p w14:paraId="3EE45089" w14:textId="65534F23" w:rsidR="009A22CB" w:rsidRPr="009A22CB" w:rsidRDefault="009A22CB" w:rsidP="009A22CB">
      <w:pPr>
        <w:pStyle w:val="AmNumberTabs"/>
        <w:spacing w:before="600"/>
        <w:rPr>
          <w:rFonts w:eastAsia="Calibri"/>
          <w:b w:val="0"/>
          <w:bCs/>
          <w:i/>
          <w:iCs/>
          <w:szCs w:val="22"/>
          <w:lang w:eastAsia="en-US"/>
        </w:rPr>
      </w:pPr>
      <w:r w:rsidRPr="009A22CB">
        <w:rPr>
          <w:rFonts w:eastAsia="Calibri"/>
          <w:b w:val="0"/>
          <w:bCs/>
          <w:i/>
          <w:iCs/>
          <w:szCs w:val="22"/>
          <w:lang w:eastAsia="en-US"/>
        </w:rPr>
        <w:t xml:space="preserve">(Vzhledem k tomu, že bylo dosaženo dohody mezi Parlamentem a Radou, postoj Parlamentu odpovídá konečnému znění legislativního aktu, </w:t>
      </w:r>
      <w:r>
        <w:rPr>
          <w:rFonts w:eastAsia="Calibri"/>
          <w:b w:val="0"/>
          <w:bCs/>
          <w:i/>
          <w:iCs/>
          <w:szCs w:val="22"/>
          <w:lang w:eastAsia="en-US"/>
        </w:rPr>
        <w:t>směrnici</w:t>
      </w:r>
      <w:r w:rsidRPr="009A22CB">
        <w:rPr>
          <w:rFonts w:eastAsia="Calibri"/>
          <w:b w:val="0"/>
          <w:bCs/>
          <w:i/>
          <w:iCs/>
          <w:szCs w:val="22"/>
          <w:lang w:eastAsia="en-US"/>
        </w:rPr>
        <w:t xml:space="preserve"> (EU) 2026/</w:t>
      </w:r>
      <w:r>
        <w:rPr>
          <w:rFonts w:eastAsia="Calibri"/>
          <w:b w:val="0"/>
          <w:bCs/>
          <w:i/>
          <w:iCs/>
          <w:szCs w:val="22"/>
          <w:lang w:eastAsia="en-US"/>
        </w:rPr>
        <w:t>1021</w:t>
      </w:r>
      <w:r w:rsidRPr="009A22CB">
        <w:rPr>
          <w:rFonts w:eastAsia="Calibri"/>
          <w:b w:val="0"/>
          <w:bCs/>
          <w:i/>
          <w:iCs/>
          <w:szCs w:val="22"/>
          <w:lang w:eastAsia="en-US"/>
        </w:rPr>
        <w:t>.)</w:t>
      </w:r>
    </w:p>
    <w:sectPr w:rsidR="009A22CB" w:rsidRPr="009A22CB" w:rsidSect="00B226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2E94" w14:textId="77777777" w:rsidR="005773D3" w:rsidRPr="00B22693" w:rsidRDefault="005773D3">
      <w:r w:rsidRPr="00B22693">
        <w:separator/>
      </w:r>
    </w:p>
  </w:endnote>
  <w:endnote w:type="continuationSeparator" w:id="0">
    <w:p w14:paraId="0D3757BC" w14:textId="77777777" w:rsidR="005773D3" w:rsidRPr="00B22693" w:rsidRDefault="005773D3">
      <w:r w:rsidRPr="00B226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00D8" w14:textId="77777777" w:rsidR="00064002" w:rsidRPr="00B226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D607" w14:textId="77777777" w:rsidR="00064002" w:rsidRPr="00B226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AAD4" w14:textId="77777777" w:rsidR="00064002" w:rsidRPr="00B226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EE81" w14:textId="77777777" w:rsidR="005773D3" w:rsidRPr="00B22693" w:rsidRDefault="005773D3">
      <w:r w:rsidRPr="00B22693">
        <w:separator/>
      </w:r>
    </w:p>
  </w:footnote>
  <w:footnote w:type="continuationSeparator" w:id="0">
    <w:p w14:paraId="10FACAC7" w14:textId="77777777" w:rsidR="005773D3" w:rsidRPr="00B22693" w:rsidRDefault="005773D3">
      <w:r w:rsidRPr="00B22693">
        <w:continuationSeparator/>
      </w:r>
    </w:p>
  </w:footnote>
  <w:footnote w:id="1">
    <w:p w14:paraId="3C5851C6" w14:textId="21486FCF" w:rsidR="00136D79" w:rsidRPr="005B0714" w:rsidRDefault="00136D79" w:rsidP="00F022DA">
      <w:pPr>
        <w:pStyle w:val="FootnoteText"/>
        <w:ind w:left="567" w:hanging="567"/>
        <w:rPr>
          <w:sz w:val="24"/>
          <w:szCs w:val="24"/>
          <w:lang w:val="fi-FI"/>
        </w:rPr>
      </w:pPr>
      <w:r w:rsidRPr="005B0714">
        <w:rPr>
          <w:rStyle w:val="FootnoteReference"/>
          <w:sz w:val="24"/>
          <w:szCs w:val="24"/>
        </w:rPr>
        <w:footnoteRef/>
      </w:r>
      <w:r w:rsidRPr="005B0714">
        <w:rPr>
          <w:sz w:val="24"/>
          <w:szCs w:val="24"/>
          <w:lang w:val="fi-FI"/>
        </w:rPr>
        <w:t xml:space="preserve"> </w:t>
      </w:r>
      <w:r w:rsidRPr="005B0714">
        <w:rPr>
          <w:sz w:val="24"/>
          <w:szCs w:val="24"/>
          <w:lang w:val="fi-FI"/>
        </w:rPr>
        <w:tab/>
      </w:r>
      <w:proofErr w:type="spellStart"/>
      <w:r w:rsidR="00F022DA" w:rsidRPr="00F022DA">
        <w:rPr>
          <w:sz w:val="24"/>
          <w:szCs w:val="24"/>
          <w:lang w:val="fi-FI"/>
        </w:rPr>
        <w:t>Úř</w:t>
      </w:r>
      <w:proofErr w:type="spellEnd"/>
      <w:r w:rsidR="00F022DA" w:rsidRPr="00F022DA">
        <w:rPr>
          <w:sz w:val="24"/>
          <w:szCs w:val="24"/>
          <w:lang w:val="fi-FI"/>
        </w:rPr>
        <w:t xml:space="preserve">. </w:t>
      </w:r>
      <w:proofErr w:type="spellStart"/>
      <w:r w:rsidR="00F022DA" w:rsidRPr="00F022DA">
        <w:rPr>
          <w:sz w:val="24"/>
          <w:szCs w:val="24"/>
          <w:lang w:val="fi-FI"/>
        </w:rPr>
        <w:t>věst</w:t>
      </w:r>
      <w:proofErr w:type="spellEnd"/>
      <w:r w:rsidR="00F022DA" w:rsidRPr="00F022DA">
        <w:rPr>
          <w:sz w:val="24"/>
          <w:szCs w:val="24"/>
          <w:lang w:val="fi-FI"/>
        </w:rPr>
        <w:t>.</w:t>
      </w:r>
      <w:r w:rsidRPr="005B0714">
        <w:rPr>
          <w:sz w:val="24"/>
          <w:szCs w:val="24"/>
          <w:lang w:val="fi-FI"/>
        </w:rPr>
        <w:t xml:space="preserve"> C, C/2024/886, 6.2.2024, ELI: </w:t>
      </w:r>
      <w:r>
        <w:fldChar w:fldCharType="begin"/>
      </w:r>
      <w:r w:rsidRPr="009A22CB">
        <w:rPr>
          <w:lang w:val="fi-FI"/>
        </w:rPr>
        <w:instrText>HYPERLINK "http://data.europa.eu/eli/C/2024/886/oj"</w:instrText>
      </w:r>
      <w:r>
        <w:fldChar w:fldCharType="separate"/>
      </w:r>
      <w:r w:rsidRPr="005B0714">
        <w:rPr>
          <w:rStyle w:val="Hyperlink"/>
          <w:sz w:val="24"/>
          <w:szCs w:val="24"/>
          <w:lang w:val="fi-FI"/>
        </w:rPr>
        <w:t>http://data.europa.eu/eli/C/2024/886/oj</w:t>
      </w:r>
      <w:r>
        <w:fldChar w:fldCharType="end"/>
      </w:r>
      <w:r w:rsidRPr="005B0714">
        <w:rPr>
          <w:sz w:val="24"/>
          <w:szCs w:val="24"/>
          <w:lang w:val="fi-FI"/>
        </w:rPr>
        <w:t>.</w:t>
      </w:r>
    </w:p>
  </w:footnote>
  <w:footnote w:id="2">
    <w:p w14:paraId="7BA0F852" w14:textId="09F119A2" w:rsidR="00F022DA" w:rsidRPr="001823DF" w:rsidRDefault="00F022DA" w:rsidP="005B0714">
      <w:pPr>
        <w:pStyle w:val="FootnoteText"/>
        <w:ind w:left="567" w:hanging="567"/>
        <w:rPr>
          <w:lang w:val="fi-FI"/>
        </w:rPr>
      </w:pPr>
      <w:r w:rsidRPr="005B0714">
        <w:rPr>
          <w:rStyle w:val="FootnoteReference"/>
          <w:sz w:val="24"/>
          <w:szCs w:val="24"/>
        </w:rPr>
        <w:footnoteRef/>
      </w:r>
      <w:r w:rsidRPr="005B0714">
        <w:rPr>
          <w:sz w:val="24"/>
          <w:szCs w:val="24"/>
          <w:lang w:val="fi-FI"/>
        </w:rPr>
        <w:t xml:space="preserve"> </w:t>
      </w:r>
      <w:r w:rsidRPr="005B0714">
        <w:rPr>
          <w:sz w:val="24"/>
          <w:szCs w:val="24"/>
          <w:lang w:val="fi-FI"/>
        </w:rPr>
        <w:tab/>
      </w:r>
      <w:proofErr w:type="spellStart"/>
      <w:r w:rsidRPr="00F022DA">
        <w:rPr>
          <w:sz w:val="24"/>
          <w:szCs w:val="24"/>
          <w:lang w:val="fi-FI"/>
        </w:rPr>
        <w:t>Úř</w:t>
      </w:r>
      <w:proofErr w:type="spellEnd"/>
      <w:r w:rsidRPr="00F022DA">
        <w:rPr>
          <w:sz w:val="24"/>
          <w:szCs w:val="24"/>
          <w:lang w:val="fi-FI"/>
        </w:rPr>
        <w:t xml:space="preserve">. </w:t>
      </w:r>
      <w:proofErr w:type="spellStart"/>
      <w:r w:rsidRPr="00F022DA">
        <w:rPr>
          <w:sz w:val="24"/>
          <w:szCs w:val="24"/>
          <w:lang w:val="fi-FI"/>
        </w:rPr>
        <w:t>věst</w:t>
      </w:r>
      <w:proofErr w:type="spellEnd"/>
      <w:r w:rsidRPr="00F022DA">
        <w:rPr>
          <w:sz w:val="24"/>
          <w:szCs w:val="24"/>
          <w:lang w:val="fi-FI"/>
        </w:rPr>
        <w:t>.</w:t>
      </w:r>
      <w:r w:rsidRPr="001823DF">
        <w:rPr>
          <w:sz w:val="24"/>
          <w:szCs w:val="24"/>
          <w:lang w:val="fi-FI"/>
        </w:rPr>
        <w:t xml:space="preserve"> </w:t>
      </w:r>
      <w:r w:rsidRPr="005B0714">
        <w:rPr>
          <w:sz w:val="24"/>
          <w:szCs w:val="24"/>
          <w:lang w:val="fi-FI"/>
        </w:rPr>
        <w:t xml:space="preserve">C, C/2024/1048, 9.2.2024, ELI: </w:t>
      </w:r>
      <w:r>
        <w:fldChar w:fldCharType="begin"/>
      </w:r>
      <w:r w:rsidRPr="009A22CB">
        <w:rPr>
          <w:lang w:val="fi-FI"/>
        </w:rPr>
        <w:instrText>HYPERLINK "http://data.europa.eu/eli/C/2024/1048/oj"</w:instrText>
      </w:r>
      <w:r>
        <w:fldChar w:fldCharType="separate"/>
      </w:r>
      <w:r w:rsidRPr="005B0714">
        <w:rPr>
          <w:rStyle w:val="Hyperlink"/>
          <w:sz w:val="24"/>
          <w:szCs w:val="24"/>
          <w:lang w:val="fi-FI"/>
        </w:rPr>
        <w:t>http://data.europa.eu/eli/C/2024/1048/oj</w:t>
      </w:r>
      <w:r>
        <w:fldChar w:fldCharType="end"/>
      </w:r>
      <w:r w:rsidRPr="005B0714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0EF" w14:textId="77777777" w:rsidR="00064002" w:rsidRPr="00B226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564C" w14:textId="77777777" w:rsidR="00064002" w:rsidRPr="00B226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398C" w14:textId="77777777" w:rsidR="00064002" w:rsidRPr="00B226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87162702">
    <w:abstractNumId w:val="2"/>
  </w:num>
  <w:num w:numId="2" w16cid:durableId="299308402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CS"/>
    <w:docVar w:name="dvnumam" w:val="251"/>
    <w:docVar w:name="dvpe" w:val="753.573"/>
    <w:docVar w:name="dvrapporteur" w:val="Zpravodajka: "/>
    <w:docVar w:name="dvstar" w:val="***I"/>
    <w:docVar w:name="dvtitre" w:val="Legislativní usnesení Evropského parlamentu ze dne 25. března 2026 o návrhu směrnice Evropského parlamentu a Rady o boji proti korupci, kterou se nahrazuje rámcové rozhodnutí Rady 2003/568/SVV a Úmluva o boji proti korupci úředníků Evropských společenství nebo členských států Evropské unie a kterou se mění směrnice Evropského parlamentu a Rady (EU) 2017/1371(COM(2023)0234 – C9-0162/2023 – 2023/0135(COD))"/>
  </w:docVars>
  <w:rsids>
    <w:rsidRoot w:val="005773D3"/>
    <w:rsid w:val="00002272"/>
    <w:rsid w:val="00046126"/>
    <w:rsid w:val="00064002"/>
    <w:rsid w:val="000677B9"/>
    <w:rsid w:val="000831BA"/>
    <w:rsid w:val="000943C6"/>
    <w:rsid w:val="000A42CC"/>
    <w:rsid w:val="000A5F29"/>
    <w:rsid w:val="000E7DD9"/>
    <w:rsid w:val="0010095E"/>
    <w:rsid w:val="001214E1"/>
    <w:rsid w:val="00125B37"/>
    <w:rsid w:val="001307B3"/>
    <w:rsid w:val="00136D79"/>
    <w:rsid w:val="00187494"/>
    <w:rsid w:val="001F32AE"/>
    <w:rsid w:val="002767FF"/>
    <w:rsid w:val="002811D2"/>
    <w:rsid w:val="002968F7"/>
    <w:rsid w:val="002A70E8"/>
    <w:rsid w:val="002B18FE"/>
    <w:rsid w:val="002B5493"/>
    <w:rsid w:val="00324F2B"/>
    <w:rsid w:val="00343214"/>
    <w:rsid w:val="00361C00"/>
    <w:rsid w:val="00377A33"/>
    <w:rsid w:val="00395FA1"/>
    <w:rsid w:val="003B0F65"/>
    <w:rsid w:val="003E15D4"/>
    <w:rsid w:val="00411CCE"/>
    <w:rsid w:val="0041666E"/>
    <w:rsid w:val="00421060"/>
    <w:rsid w:val="00461FA7"/>
    <w:rsid w:val="004657F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3D3"/>
    <w:rsid w:val="005A34E3"/>
    <w:rsid w:val="005B0714"/>
    <w:rsid w:val="005B20F3"/>
    <w:rsid w:val="005C2568"/>
    <w:rsid w:val="005E0E16"/>
    <w:rsid w:val="005F1B17"/>
    <w:rsid w:val="006037C0"/>
    <w:rsid w:val="006052D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CAB"/>
    <w:rsid w:val="007B6442"/>
    <w:rsid w:val="007D1690"/>
    <w:rsid w:val="007E22AD"/>
    <w:rsid w:val="0081378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2CB"/>
    <w:rsid w:val="009B385F"/>
    <w:rsid w:val="00A079F8"/>
    <w:rsid w:val="00A1687D"/>
    <w:rsid w:val="00A323ED"/>
    <w:rsid w:val="00A43E52"/>
    <w:rsid w:val="00A4678D"/>
    <w:rsid w:val="00A47F13"/>
    <w:rsid w:val="00A778C7"/>
    <w:rsid w:val="00A91FC9"/>
    <w:rsid w:val="00AB441E"/>
    <w:rsid w:val="00AB6293"/>
    <w:rsid w:val="00AC2819"/>
    <w:rsid w:val="00AE0928"/>
    <w:rsid w:val="00AF31F7"/>
    <w:rsid w:val="00AF3B82"/>
    <w:rsid w:val="00B12E95"/>
    <w:rsid w:val="00B20A09"/>
    <w:rsid w:val="00B22693"/>
    <w:rsid w:val="00B22876"/>
    <w:rsid w:val="00B558F0"/>
    <w:rsid w:val="00B8085B"/>
    <w:rsid w:val="00BD48FE"/>
    <w:rsid w:val="00BD7BD8"/>
    <w:rsid w:val="00BE6ADC"/>
    <w:rsid w:val="00C05BFE"/>
    <w:rsid w:val="00C23CD4"/>
    <w:rsid w:val="00C61C0C"/>
    <w:rsid w:val="00C941CB"/>
    <w:rsid w:val="00CC2357"/>
    <w:rsid w:val="00CE48F5"/>
    <w:rsid w:val="00CF071A"/>
    <w:rsid w:val="00CF42B8"/>
    <w:rsid w:val="00D058B8"/>
    <w:rsid w:val="00D56C11"/>
    <w:rsid w:val="00D834A0"/>
    <w:rsid w:val="00D872DF"/>
    <w:rsid w:val="00D91E21"/>
    <w:rsid w:val="00DA7FCD"/>
    <w:rsid w:val="00E365E1"/>
    <w:rsid w:val="00E414BF"/>
    <w:rsid w:val="00E658FC"/>
    <w:rsid w:val="00E753CB"/>
    <w:rsid w:val="00E778C5"/>
    <w:rsid w:val="00E820A4"/>
    <w:rsid w:val="00EA754B"/>
    <w:rsid w:val="00EB006A"/>
    <w:rsid w:val="00EB4772"/>
    <w:rsid w:val="00ED169E"/>
    <w:rsid w:val="00ED3D94"/>
    <w:rsid w:val="00ED4235"/>
    <w:rsid w:val="00EE32AF"/>
    <w:rsid w:val="00EE75B0"/>
    <w:rsid w:val="00F022DA"/>
    <w:rsid w:val="00F04346"/>
    <w:rsid w:val="00F075DC"/>
    <w:rsid w:val="00F10856"/>
    <w:rsid w:val="00F149E9"/>
    <w:rsid w:val="00F5134D"/>
    <w:rsid w:val="00F74202"/>
    <w:rsid w:val="00F830B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37D02"/>
  <w15:chartTrackingRefBased/>
  <w15:docId w15:val="{2202B5E9-5155-46E0-80EC-0F2703C4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F31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F31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F31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F31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1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1F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1F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1F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1F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AF31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F31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F31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F31F7"/>
    <w:pPr>
      <w:spacing w:after="120"/>
    </w:pPr>
  </w:style>
  <w:style w:type="paragraph" w:customStyle="1" w:styleId="PageHeading">
    <w:name w:val="PageHeading"/>
    <w:basedOn w:val="Normal"/>
    <w:rsid w:val="00AF31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F31F7"/>
    <w:rPr>
      <w:b/>
    </w:rPr>
  </w:style>
  <w:style w:type="paragraph" w:customStyle="1" w:styleId="NormalBold12a">
    <w:name w:val="NormalBold12a"/>
    <w:basedOn w:val="Normal"/>
    <w:rsid w:val="00AF31F7"/>
    <w:pPr>
      <w:spacing w:after="240"/>
    </w:pPr>
    <w:rPr>
      <w:b/>
    </w:rPr>
  </w:style>
  <w:style w:type="paragraph" w:customStyle="1" w:styleId="AmJustText">
    <w:name w:val="AmJustText"/>
    <w:basedOn w:val="Normal"/>
    <w:rsid w:val="00AF31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F31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F31F7"/>
    <w:pPr>
      <w:spacing w:after="480"/>
      <w:ind w:left="1417"/>
    </w:pPr>
  </w:style>
  <w:style w:type="paragraph" w:customStyle="1" w:styleId="CoverNormal">
    <w:name w:val="CoverNormal"/>
    <w:basedOn w:val="Normal"/>
    <w:rsid w:val="00AF31F7"/>
    <w:pPr>
      <w:ind w:left="1418"/>
    </w:pPr>
  </w:style>
  <w:style w:type="paragraph" w:customStyle="1" w:styleId="AmCrossRef">
    <w:name w:val="AmCrossRef"/>
    <w:basedOn w:val="Normal"/>
    <w:rsid w:val="00AF31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31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F31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F31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F31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F31F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F31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1F7"/>
    <w:rPr>
      <w:sz w:val="24"/>
      <w:lang w:val="cs-CZ"/>
    </w:rPr>
  </w:style>
  <w:style w:type="paragraph" w:customStyle="1" w:styleId="AmOrLang">
    <w:name w:val="AmOrLang"/>
    <w:basedOn w:val="Normal"/>
    <w:rsid w:val="00AF31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F31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F31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F31F7"/>
    <w:pPr>
      <w:spacing w:before="240"/>
    </w:pPr>
    <w:rPr>
      <w:b/>
    </w:rPr>
  </w:style>
  <w:style w:type="paragraph" w:customStyle="1" w:styleId="EPBody">
    <w:name w:val="EPBody"/>
    <w:basedOn w:val="Normal"/>
    <w:rsid w:val="00AF31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F31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F31F7"/>
    <w:pPr>
      <w:spacing w:before="480" w:after="240"/>
    </w:pPr>
  </w:style>
  <w:style w:type="paragraph" w:customStyle="1" w:styleId="Lgendesigne">
    <w:name w:val="Légende signe"/>
    <w:basedOn w:val="Normal"/>
    <w:rsid w:val="00AF31F7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AF31F7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AF31F7"/>
    <w:rPr>
      <w:sz w:val="18"/>
      <w:lang w:val="en-GB"/>
    </w:rPr>
  </w:style>
  <w:style w:type="paragraph" w:customStyle="1" w:styleId="msonormal0">
    <w:name w:val="msonormal"/>
    <w:basedOn w:val="Normal"/>
    <w:rsid w:val="00AF31F7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AF31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1F7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AF31F7"/>
    <w:rPr>
      <w:noProof/>
      <w:sz w:val="24"/>
    </w:rPr>
  </w:style>
  <w:style w:type="paragraph" w:customStyle="1" w:styleId="Normal12">
    <w:name w:val="Normal12"/>
    <w:basedOn w:val="Normal"/>
    <w:link w:val="Normal12Char"/>
    <w:rsid w:val="00AF31F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F31F7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AF31F7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AF31F7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AF31F7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AF31F7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AF31F7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AF31F7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AF31F7"/>
    <w:rPr>
      <w:b/>
      <w:sz w:val="24"/>
      <w:lang w:val="cs-CZ"/>
    </w:rPr>
  </w:style>
  <w:style w:type="paragraph" w:customStyle="1" w:styleId="Normal12Italic">
    <w:name w:val="Normal12Italic"/>
    <w:basedOn w:val="Normal12"/>
    <w:rsid w:val="00AF31F7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AF31F7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AF31F7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AF31F7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AF31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AF31F7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AF31F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F31F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AF31F7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F31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AF31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31F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AF31F7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F3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F31F7"/>
    <w:rPr>
      <w:b/>
      <w:bCs/>
    </w:rPr>
  </w:style>
  <w:style w:type="paragraph" w:customStyle="1" w:styleId="Normal1">
    <w:name w:val="Normal1"/>
    <w:basedOn w:val="Normal"/>
    <w:rsid w:val="00AF31F7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Revision">
    <w:name w:val="Revision"/>
    <w:hidden/>
    <w:uiPriority w:val="99"/>
    <w:semiHidden/>
    <w:rsid w:val="00AF31F7"/>
    <w:rPr>
      <w:sz w:val="24"/>
    </w:rPr>
  </w:style>
  <w:style w:type="character" w:customStyle="1" w:styleId="AmNumberTabsChar">
    <w:name w:val="AmNumberTabs Char"/>
    <w:basedOn w:val="DefaultParagraphFont"/>
    <w:link w:val="AmNumberTabs"/>
    <w:rsid w:val="00AF31F7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AF31F7"/>
    <w:rPr>
      <w:b/>
      <w:sz w:val="24"/>
      <w:lang w:val="cs-CZ"/>
    </w:rPr>
  </w:style>
  <w:style w:type="paragraph" w:customStyle="1" w:styleId="Normal24a">
    <w:name w:val="Normal24a"/>
    <w:basedOn w:val="Normal"/>
    <w:rsid w:val="00AF31F7"/>
    <w:pPr>
      <w:spacing w:after="480"/>
    </w:pPr>
  </w:style>
  <w:style w:type="paragraph" w:customStyle="1" w:styleId="NormalBoldCenter">
    <w:name w:val="NormalBoldCenter"/>
    <w:basedOn w:val="Normal"/>
    <w:rsid w:val="00AF31F7"/>
    <w:pPr>
      <w:jc w:val="center"/>
    </w:pPr>
    <w:rPr>
      <w:b/>
    </w:rPr>
  </w:style>
  <w:style w:type="paragraph" w:customStyle="1" w:styleId="Normal12a">
    <w:name w:val="Normal12a"/>
    <w:basedOn w:val="Normal"/>
    <w:rsid w:val="00AF31F7"/>
    <w:pPr>
      <w:spacing w:after="240"/>
    </w:pPr>
  </w:style>
  <w:style w:type="paragraph" w:customStyle="1" w:styleId="PageHeadingNotTOC">
    <w:name w:val="PageHeadingNotTOC"/>
    <w:basedOn w:val="Normal"/>
    <w:rsid w:val="00AF31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F31F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F31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F31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F31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F31F7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AF31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2D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4657F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657FA"/>
    <w:pPr>
      <w:spacing w:after="240"/>
      <w:jc w:val="center"/>
    </w:pPr>
  </w:style>
  <w:style w:type="paragraph" w:customStyle="1" w:styleId="AmDateTab">
    <w:name w:val="AmDateTab"/>
    <w:basedOn w:val="Normal"/>
    <w:rsid w:val="004657F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657F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657FA"/>
  </w:style>
  <w:style w:type="paragraph" w:styleId="TOC4">
    <w:name w:val="toc 4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657F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657F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657F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657F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657F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657F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657F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657F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657F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657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657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657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657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657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657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657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657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657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657F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657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657F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657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657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657F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657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657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657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657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657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657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657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657F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657F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657F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657F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657F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657F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657F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657F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657F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657F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657F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657F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657F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657F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657F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657FA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657F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657FA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657F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657FA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657F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657FA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657FA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657FA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657FA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657FA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657FA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657FA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657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657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657F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657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657F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657F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657F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657F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657F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657F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657F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657F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657F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657F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657F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657F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657F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657F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657F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657F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657F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657F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657F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657F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657F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657F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657F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657F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657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657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657F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657FA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657F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657F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657F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657F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657F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657F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657F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657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657F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657F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657F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657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657F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657F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657F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657F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657F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657F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657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657F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657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657F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657F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657FA"/>
    <w:pPr>
      <w:spacing w:before="240"/>
    </w:pPr>
  </w:style>
  <w:style w:type="paragraph" w:customStyle="1" w:styleId="Accordtitre">
    <w:name w:val="Accord titre"/>
    <w:basedOn w:val="Normal"/>
    <w:rsid w:val="004657F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657F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657F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657F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657F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657FA"/>
    <w:pPr>
      <w:spacing w:after="240"/>
    </w:pPr>
  </w:style>
  <w:style w:type="paragraph" w:customStyle="1" w:styleId="Annexetitre">
    <w:name w:val="Annexe titre"/>
    <w:basedOn w:val="Normal"/>
    <w:next w:val="Normal"/>
    <w:rsid w:val="004657F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657F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657F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657FA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4657F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657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657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657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657F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657F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657F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657F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657F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657F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657F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657F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657F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657F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657F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657F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657F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657F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657F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657F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657F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657F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657F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657F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657F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657F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657F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4657FA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4657FA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4657FA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4657FA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4657F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4657FA"/>
    <w:rPr>
      <w:rFonts w:ascii="Arial" w:hAnsi="Arial" w:cs="Arial"/>
      <w:b/>
      <w:sz w:val="36"/>
      <w:szCs w:val="36"/>
      <w:u w:color="606060"/>
      <w:lang w:val="cs-CZ" w:eastAsia="en-US"/>
    </w:rPr>
  </w:style>
  <w:style w:type="paragraph" w:customStyle="1" w:styleId="TBSubjectTable">
    <w:name w:val="TBSubjectTable"/>
    <w:basedOn w:val="TechnicalBlockBase"/>
    <w:rsid w:val="004657F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4657F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657F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657F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cs-CZ" w:eastAsia="en-US"/>
    </w:rPr>
  </w:style>
  <w:style w:type="character" w:customStyle="1" w:styleId="TechnicalBlockBaseChar">
    <w:name w:val="TechnicalBlockBase Char"/>
    <w:basedOn w:val="EntEUChar"/>
    <w:link w:val="TechnicalBlockBase"/>
    <w:rsid w:val="004657FA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cs-CZ" w:eastAsia="en-US"/>
    </w:rPr>
  </w:style>
  <w:style w:type="paragraph" w:customStyle="1" w:styleId="HeaderCouncilLarge">
    <w:name w:val="Header Council Large"/>
    <w:basedOn w:val="Normal"/>
    <w:link w:val="HeaderCouncilLargeChar"/>
    <w:rsid w:val="004657FA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4657FA"/>
    <w:rPr>
      <w:rFonts w:ascii="Arial" w:hAnsi="Arial" w:cs="Arial"/>
      <w:b/>
      <w:sz w:val="2"/>
      <w:szCs w:val="24"/>
      <w:u w:color="606060"/>
      <w:lang w:val="cs-CZ" w:eastAsia="en-US"/>
    </w:rPr>
  </w:style>
  <w:style w:type="paragraph" w:customStyle="1" w:styleId="FooterText">
    <w:name w:val="Footer Text"/>
    <w:basedOn w:val="Normal"/>
    <w:rsid w:val="004657F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657FA"/>
    <w:rPr>
      <w:color w:val="808080"/>
    </w:rPr>
  </w:style>
  <w:style w:type="paragraph" w:customStyle="1" w:styleId="NormalJustified">
    <w:name w:val="Normal Justified"/>
    <w:basedOn w:val="Normal"/>
    <w:rsid w:val="004657F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657F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657F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4657F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657F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657F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657F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657F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657F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657F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657F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657F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657F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657FA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657FA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657FA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657FA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657FA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657FA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657FA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657FA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657FA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657FA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657FA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657FA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657FA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657FA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657F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657FA"/>
    <w:pPr>
      <w:widowControl/>
      <w:numPr>
        <w:numId w:val="24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657FA"/>
    <w:pPr>
      <w:widowControl/>
      <w:numPr>
        <w:numId w:val="25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657FA"/>
    <w:pPr>
      <w:widowControl/>
      <w:numPr>
        <w:numId w:val="26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657FA"/>
    <w:pPr>
      <w:widowControl/>
      <w:numPr>
        <w:numId w:val="27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657FA"/>
    <w:pPr>
      <w:widowControl/>
      <w:numPr>
        <w:numId w:val="2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657FA"/>
    <w:pPr>
      <w:numPr>
        <w:numId w:val="29"/>
      </w:numPr>
      <w:tabs>
        <w:tab w:val="clear" w:pos="567"/>
        <w:tab w:val="num" w:pos="4819"/>
      </w:tabs>
      <w:ind w:left="0" w:firstLine="0"/>
    </w:pPr>
  </w:style>
  <w:style w:type="paragraph" w:customStyle="1" w:styleId="DashEqual1">
    <w:name w:val="Dash Equal 1"/>
    <w:basedOn w:val="Dash1"/>
    <w:rsid w:val="004657FA"/>
    <w:pPr>
      <w:numPr>
        <w:numId w:val="30"/>
      </w:numPr>
      <w:tabs>
        <w:tab w:val="clear" w:pos="1134"/>
        <w:tab w:val="num" w:pos="5386"/>
      </w:tabs>
      <w:ind w:left="0" w:firstLine="0"/>
    </w:pPr>
  </w:style>
  <w:style w:type="paragraph" w:customStyle="1" w:styleId="DashEqual2">
    <w:name w:val="Dash Equal 2"/>
    <w:basedOn w:val="Dash2"/>
    <w:rsid w:val="004657FA"/>
    <w:pPr>
      <w:numPr>
        <w:numId w:val="31"/>
      </w:numPr>
      <w:tabs>
        <w:tab w:val="clear" w:pos="1701"/>
        <w:tab w:val="num" w:pos="850"/>
      </w:tabs>
      <w:ind w:left="0" w:firstLine="0"/>
    </w:pPr>
  </w:style>
  <w:style w:type="paragraph" w:customStyle="1" w:styleId="DashEqual3">
    <w:name w:val="Dash Equal 3"/>
    <w:basedOn w:val="Dash3"/>
    <w:rsid w:val="004657FA"/>
    <w:pPr>
      <w:numPr>
        <w:numId w:val="32"/>
      </w:numPr>
      <w:tabs>
        <w:tab w:val="clear" w:pos="2268"/>
        <w:tab w:val="num" w:pos="850"/>
      </w:tabs>
      <w:ind w:left="0" w:firstLine="0"/>
    </w:pPr>
  </w:style>
  <w:style w:type="paragraph" w:customStyle="1" w:styleId="DashEqual4">
    <w:name w:val="Dash Equal 4"/>
    <w:basedOn w:val="Dash4"/>
    <w:rsid w:val="004657FA"/>
    <w:pPr>
      <w:numPr>
        <w:numId w:val="33"/>
      </w:numPr>
      <w:tabs>
        <w:tab w:val="clear" w:pos="2835"/>
        <w:tab w:val="num" w:pos="360"/>
      </w:tabs>
      <w:ind w:left="0" w:firstLine="0"/>
    </w:pPr>
  </w:style>
  <w:style w:type="paragraph" w:customStyle="1" w:styleId="HeadingLeft">
    <w:name w:val="Heading Left"/>
    <w:basedOn w:val="Normal"/>
    <w:next w:val="Normal"/>
    <w:rsid w:val="004657F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657FA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4657FA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4657FA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4657FA"/>
    <w:pPr>
      <w:jc w:val="center"/>
    </w:pPr>
  </w:style>
  <w:style w:type="paragraph" w:customStyle="1" w:styleId="Jardin">
    <w:name w:val="Jardin"/>
    <w:basedOn w:val="Normal"/>
    <w:rsid w:val="004657F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657F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657F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657F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657FA"/>
    <w:rPr>
      <w:b/>
    </w:rPr>
  </w:style>
  <w:style w:type="paragraph" w:customStyle="1" w:styleId="Annex">
    <w:name w:val="Annex"/>
    <w:basedOn w:val="Normal"/>
    <w:next w:val="Normal"/>
    <w:rsid w:val="004657F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657F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657F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657F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657F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BEntInstit">
    <w:name w:val="TBEntInstit"/>
    <w:basedOn w:val="TechnicalBlockBase"/>
    <w:link w:val="EntInstitChar"/>
    <w:rsid w:val="004657F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4657F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4657F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4657FA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4657F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4657FA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character" w:customStyle="1" w:styleId="EntInstitChar">
    <w:name w:val="EntInstit Char"/>
    <w:basedOn w:val="DefaultParagraphFont"/>
    <w:link w:val="TBEntInstit"/>
    <w:rsid w:val="004657FA"/>
    <w:rPr>
      <w:rFonts w:ascii="Arial" w:hAnsi="Arial" w:cs="Arial"/>
      <w:b/>
      <w:sz w:val="23"/>
      <w:u w:color="606060"/>
      <w:lang w:val="cs-CZ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657FA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cs-CZ" w:eastAsia="fr-BE"/>
    </w:rPr>
  </w:style>
  <w:style w:type="paragraph" w:customStyle="1" w:styleId="Title1">
    <w:name w:val="Title1"/>
    <w:basedOn w:val="Normal"/>
    <w:next w:val="Normal"/>
    <w:uiPriority w:val="10"/>
    <w:qFormat/>
    <w:rsid w:val="004657FA"/>
    <w:pPr>
      <w:widowControl/>
      <w:spacing w:before="120" w:after="80" w:line="36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657FA"/>
    <w:rPr>
      <w:rFonts w:ascii="Calibri Light" w:hAnsi="Calibri Light"/>
      <w:spacing w:val="-10"/>
      <w:kern w:val="28"/>
      <w:sz w:val="56"/>
      <w:szCs w:val="56"/>
      <w:lang w:val="cs-CZ"/>
    </w:rPr>
  </w:style>
  <w:style w:type="paragraph" w:customStyle="1" w:styleId="Subtitle1">
    <w:name w:val="Subtitle1"/>
    <w:basedOn w:val="Normal"/>
    <w:next w:val="Normal"/>
    <w:uiPriority w:val="11"/>
    <w:qFormat/>
    <w:rsid w:val="004657FA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657FA"/>
    <w:rPr>
      <w:color w:val="595959"/>
      <w:spacing w:val="15"/>
      <w:kern w:val="2"/>
      <w:sz w:val="28"/>
      <w:szCs w:val="28"/>
      <w:lang w:val="cs-CZ"/>
    </w:rPr>
  </w:style>
  <w:style w:type="paragraph" w:customStyle="1" w:styleId="Quote1">
    <w:name w:val="Quote1"/>
    <w:basedOn w:val="Normal"/>
    <w:next w:val="Normal"/>
    <w:uiPriority w:val="29"/>
    <w:qFormat/>
    <w:rsid w:val="004657FA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657FA"/>
    <w:rPr>
      <w:i/>
      <w:iCs/>
      <w:color w:val="404040"/>
      <w:kern w:val="2"/>
      <w:lang w:val="cs-CZ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657FA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4657FA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4657FA"/>
    <w:pPr>
      <w:widowControl/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2F5496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7FA"/>
    <w:rPr>
      <w:i/>
      <w:iCs/>
      <w:color w:val="2F5496"/>
      <w:kern w:val="2"/>
      <w:lang w:val="cs-CZ"/>
    </w:rPr>
  </w:style>
  <w:style w:type="character" w:customStyle="1" w:styleId="IntenseReference1">
    <w:name w:val="Intense Reference1"/>
    <w:basedOn w:val="DefaultParagraphFont"/>
    <w:uiPriority w:val="32"/>
    <w:qFormat/>
    <w:rsid w:val="004657FA"/>
    <w:rPr>
      <w:b/>
      <w:bCs/>
      <w:smallCaps/>
      <w:color w:val="2F5496"/>
      <w:spacing w:val="5"/>
    </w:rPr>
  </w:style>
  <w:style w:type="character" w:customStyle="1" w:styleId="EntReferChar">
    <w:name w:val="EntRefer Char"/>
    <w:basedOn w:val="DefaultParagraphFont"/>
    <w:link w:val="TBEntRefer"/>
    <w:rsid w:val="004657FA"/>
    <w:rPr>
      <w:rFonts w:ascii="Arial" w:hAnsi="Arial" w:cs="Arial"/>
      <w:b/>
      <w:sz w:val="23"/>
      <w:szCs w:val="23"/>
      <w:u w:color="606060"/>
      <w:lang w:val="cs-CZ" w:eastAsia="en-US"/>
    </w:rPr>
  </w:style>
  <w:style w:type="paragraph" w:customStyle="1" w:styleId="TBDistrbMarkers">
    <w:name w:val="TBDistrbMarkers"/>
    <w:basedOn w:val="TBEntRefer"/>
    <w:qFormat/>
    <w:rsid w:val="004657FA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4657F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4657F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DocumentGroup">
    <w:name w:val="TBDocumentGroup"/>
    <w:basedOn w:val="TechnicalBlockBase"/>
    <w:rsid w:val="004657F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4657F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character" w:customStyle="1" w:styleId="TechnicalBlockChar">
    <w:name w:val="Technical Block Char"/>
    <w:basedOn w:val="DefaultParagraphFont"/>
    <w:rsid w:val="004657FA"/>
    <w:rPr>
      <w:rFonts w:ascii="Times New Roman" w:hAnsi="Times New Roman" w:cs="Times New Roman"/>
      <w:sz w:val="24"/>
      <w:lang w:val="cs-CZ"/>
    </w:rPr>
  </w:style>
  <w:style w:type="paragraph" w:customStyle="1" w:styleId="title-bold">
    <w:name w:val="title-bold"/>
    <w:basedOn w:val="Normal"/>
    <w:rsid w:val="004657FA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4657FA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657FA"/>
    <w:rPr>
      <w:i/>
      <w:iCs/>
    </w:rPr>
  </w:style>
  <w:style w:type="paragraph" w:styleId="NoSpacing">
    <w:name w:val="No Spacing"/>
    <w:uiPriority w:val="1"/>
    <w:qFormat/>
    <w:rsid w:val="004657FA"/>
    <w:rPr>
      <w:rFonts w:eastAsia="Calibri"/>
      <w:sz w:val="24"/>
      <w:szCs w:val="22"/>
      <w:lang w:val="cs-CZ" w:eastAsia="en-US"/>
    </w:rPr>
  </w:style>
  <w:style w:type="paragraph" w:customStyle="1" w:styleId="Manual">
    <w:name w:val="Manual"/>
    <w:basedOn w:val="Normal"/>
    <w:rsid w:val="004657FA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titreobjetcp">
    <w:name w:val="titreobjet_cp"/>
    <w:basedOn w:val="Normal"/>
    <w:rsid w:val="004657FA"/>
    <w:pPr>
      <w:widowControl/>
      <w:spacing w:before="100" w:beforeAutospacing="1" w:after="100" w:afterAutospacing="1"/>
    </w:pPr>
    <w:rPr>
      <w:szCs w:val="24"/>
    </w:rPr>
  </w:style>
  <w:style w:type="paragraph" w:customStyle="1" w:styleId="CommentQuotedText">
    <w:name w:val="CommentQuotedText"/>
    <w:rsid w:val="004657F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4657F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657FA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4657F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657FA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657FA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4657FA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7FA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4657F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paragraph" w:styleId="Quote">
    <w:name w:val="Quote"/>
    <w:basedOn w:val="Normal"/>
    <w:next w:val="Normal"/>
    <w:link w:val="QuoteChar"/>
    <w:uiPriority w:val="29"/>
    <w:qFormat/>
    <w:rsid w:val="004657FA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4657FA"/>
    <w:rPr>
      <w:i/>
      <w:iCs/>
      <w:color w:val="404040" w:themeColor="text1" w:themeTint="BF"/>
      <w:sz w:val="24"/>
      <w:lang w:val="cs-CZ"/>
    </w:rPr>
  </w:style>
  <w:style w:type="paragraph" w:styleId="ListParagraph">
    <w:name w:val="List Paragraph"/>
    <w:basedOn w:val="Normal"/>
    <w:uiPriority w:val="34"/>
    <w:qFormat/>
    <w:rsid w:val="004657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7F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7F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F5496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4657FA"/>
    <w:rPr>
      <w:i/>
      <w:iCs/>
      <w:color w:val="5B9BD5" w:themeColor="accent1"/>
      <w:sz w:val="24"/>
      <w:lang w:val="cs-CZ"/>
    </w:rPr>
  </w:style>
  <w:style w:type="character" w:styleId="IntenseReference">
    <w:name w:val="Intense Reference"/>
    <w:basedOn w:val="DefaultParagraphFont"/>
    <w:uiPriority w:val="32"/>
    <w:qFormat/>
    <w:rsid w:val="004657FA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4657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2026-05-12T09:33:00Z</dcterms:created>
  <dcterms:modified xsi:type="dcterms:W3CDTF">2026-05-12T09:33:00Z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