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52757" w14:paraId="5A61A2E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EBD6239" w14:textId="77777777" w:rsidR="00751A4A" w:rsidRPr="00B52757" w:rsidRDefault="00734C2B" w:rsidP="0010095E">
            <w:pPr>
              <w:pStyle w:val="EPName"/>
            </w:pPr>
            <w:r w:rsidRPr="00B52757">
              <w:t>Ευρωπαϊκό Κοινοβούλιο</w:t>
            </w:r>
          </w:p>
          <w:p w14:paraId="426E2D14" w14:textId="77777777" w:rsidR="00751A4A" w:rsidRPr="00B5275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52757">
              <w:t>2024</w:t>
            </w:r>
            <w:r w:rsidR="00817416" w:rsidRPr="00B52757">
              <w:t>-202</w:t>
            </w:r>
            <w:r w:rsidRPr="00B52757">
              <w:t>9</w:t>
            </w:r>
          </w:p>
        </w:tc>
        <w:tc>
          <w:tcPr>
            <w:tcW w:w="2268" w:type="dxa"/>
            <w:shd w:val="clear" w:color="auto" w:fill="auto"/>
          </w:tcPr>
          <w:p w14:paraId="17C42239" w14:textId="77777777" w:rsidR="00751A4A" w:rsidRPr="00B52757" w:rsidRDefault="00187494" w:rsidP="0010095E">
            <w:pPr>
              <w:pStyle w:val="EPLogo"/>
            </w:pPr>
            <w:r w:rsidRPr="00B52757">
              <w:rPr>
                <w:noProof/>
                <w:lang w:eastAsia="ja-JP"/>
              </w:rPr>
              <w:drawing>
                <wp:inline distT="0" distB="0" distL="0" distR="0" wp14:anchorId="0C27BE52" wp14:editId="6BBD12B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B32240" w14:textId="77777777" w:rsidR="00D058B8" w:rsidRPr="00B52757" w:rsidRDefault="00D058B8" w:rsidP="004C5D52">
      <w:pPr>
        <w:pStyle w:val="LineTop"/>
      </w:pPr>
    </w:p>
    <w:p w14:paraId="6935E324" w14:textId="77777777" w:rsidR="00680577" w:rsidRPr="00B52757" w:rsidRDefault="00734C2B" w:rsidP="00680577">
      <w:pPr>
        <w:pStyle w:val="EPBodyTA1"/>
      </w:pPr>
      <w:r w:rsidRPr="00B52757">
        <w:t>ΚΕΙΜΕΝΑ ΠΟΥ ΕΓΚΡΙΘΗΚΑΝ</w:t>
      </w:r>
    </w:p>
    <w:p w14:paraId="5357B983" w14:textId="77777777" w:rsidR="00D058B8" w:rsidRPr="00B52757" w:rsidRDefault="00D058B8" w:rsidP="00D058B8">
      <w:pPr>
        <w:pStyle w:val="LineBottom"/>
      </w:pPr>
    </w:p>
    <w:p w14:paraId="6774C3D5" w14:textId="57EBF511" w:rsidR="00734C2B" w:rsidRPr="00B52757" w:rsidRDefault="00734C2B" w:rsidP="00734C2B">
      <w:pPr>
        <w:pStyle w:val="ATHeading1"/>
      </w:pPr>
      <w:bookmarkStart w:id="0" w:name="TANumber"/>
      <w:r w:rsidRPr="00B52757">
        <w:t>P10_TA(2026)00</w:t>
      </w:r>
      <w:bookmarkEnd w:id="0"/>
      <w:r w:rsidR="006C028D">
        <w:t>94</w:t>
      </w:r>
    </w:p>
    <w:p w14:paraId="0589BC24" w14:textId="77777777" w:rsidR="00734C2B" w:rsidRPr="00B52757" w:rsidRDefault="00734C2B" w:rsidP="00734C2B">
      <w:pPr>
        <w:pStyle w:val="ATHeading2"/>
      </w:pPr>
      <w:bookmarkStart w:id="1" w:name="title"/>
      <w:r w:rsidRPr="00B52757">
        <w:t>Καταπολέμηση της διαφθοράς</w:t>
      </w:r>
      <w:bookmarkEnd w:id="1"/>
    </w:p>
    <w:p w14:paraId="10036AED" w14:textId="77777777" w:rsidR="00734C2B" w:rsidRPr="00B52757" w:rsidRDefault="00734C2B" w:rsidP="00734C2B">
      <w:pPr>
        <w:rPr>
          <w:i/>
          <w:vanish/>
        </w:rPr>
      </w:pPr>
      <w:r w:rsidRPr="00B52757">
        <w:rPr>
          <w:i/>
        </w:rPr>
        <w:fldChar w:fldCharType="begin"/>
      </w:r>
      <w:r w:rsidRPr="00B52757">
        <w:rPr>
          <w:i/>
        </w:rPr>
        <w:instrText xml:space="preserve"> TC"(</w:instrText>
      </w:r>
      <w:bookmarkStart w:id="2" w:name="DocNumber"/>
      <w:r w:rsidRPr="00B52757">
        <w:rPr>
          <w:i/>
        </w:rPr>
        <w:instrText>A9-0048/2024</w:instrText>
      </w:r>
      <w:bookmarkEnd w:id="2"/>
      <w:r w:rsidRPr="00B52757">
        <w:rPr>
          <w:i/>
        </w:rPr>
        <w:instrText xml:space="preserve"> - Εισηγήτρια</w:instrText>
      </w:r>
      <w:r w:rsidRPr="006C028D">
        <w:rPr>
          <w:i/>
        </w:rPr>
        <w:instrText xml:space="preserve">: </w:instrText>
      </w:r>
      <w:proofErr w:type="spellStart"/>
      <w:r w:rsidRPr="006C028D">
        <w:rPr>
          <w:i/>
        </w:rPr>
        <w:instrText>Raquel</w:instrText>
      </w:r>
      <w:proofErr w:type="spellEnd"/>
      <w:r w:rsidRPr="006C028D">
        <w:rPr>
          <w:i/>
        </w:rPr>
        <w:instrText xml:space="preserve"> </w:instrText>
      </w:r>
      <w:proofErr w:type="spellStart"/>
      <w:r w:rsidRPr="006C028D">
        <w:rPr>
          <w:i/>
        </w:rPr>
        <w:instrText>García</w:instrText>
      </w:r>
      <w:proofErr w:type="spellEnd"/>
      <w:r w:rsidRPr="006C028D">
        <w:rPr>
          <w:i/>
        </w:rPr>
        <w:instrText xml:space="preserve"> </w:instrText>
      </w:r>
      <w:proofErr w:type="spellStart"/>
      <w:r w:rsidRPr="006C028D">
        <w:rPr>
          <w:i/>
        </w:rPr>
        <w:instrText>Hermida</w:instrText>
      </w:r>
      <w:r w:rsidRPr="00B52757">
        <w:rPr>
          <w:i/>
        </w:rPr>
        <w:instrText>-Van</w:instrText>
      </w:r>
      <w:proofErr w:type="spellEnd"/>
      <w:r w:rsidRPr="00B52757">
        <w:rPr>
          <w:i/>
        </w:rPr>
        <w:instrText xml:space="preserve"> </w:instrText>
      </w:r>
      <w:proofErr w:type="spellStart"/>
      <w:r w:rsidRPr="00B52757">
        <w:rPr>
          <w:i/>
        </w:rPr>
        <w:instrText>Der</w:instrText>
      </w:r>
      <w:proofErr w:type="spellEnd"/>
      <w:r w:rsidRPr="00B52757">
        <w:rPr>
          <w:i/>
        </w:rPr>
        <w:instrText xml:space="preserve"> </w:instrText>
      </w:r>
      <w:proofErr w:type="spellStart"/>
      <w:r w:rsidRPr="00B52757">
        <w:rPr>
          <w:i/>
        </w:rPr>
        <w:instrText>Walle</w:instrText>
      </w:r>
      <w:proofErr w:type="spellEnd"/>
      <w:r w:rsidRPr="00B52757">
        <w:rPr>
          <w:i/>
        </w:rPr>
        <w:instrText xml:space="preserve">)"\l3 \n&gt; \* MERGEFORMAT </w:instrText>
      </w:r>
      <w:r w:rsidRPr="00B52757">
        <w:rPr>
          <w:i/>
        </w:rPr>
        <w:fldChar w:fldCharType="end"/>
      </w:r>
    </w:p>
    <w:p w14:paraId="6E29C243" w14:textId="77777777" w:rsidR="00734C2B" w:rsidRPr="00B52757" w:rsidRDefault="00734C2B" w:rsidP="00734C2B">
      <w:pPr>
        <w:rPr>
          <w:vanish/>
        </w:rPr>
      </w:pPr>
      <w:bookmarkStart w:id="3" w:name="Commission"/>
      <w:r w:rsidRPr="00B52757">
        <w:rPr>
          <w:vanish/>
        </w:rPr>
        <w:t>Επιτροπή Πολιτικών Ελευθεριών, Δικαιοσύνης και Εσωτερικών Υποθέσεων</w:t>
      </w:r>
      <w:bookmarkEnd w:id="3"/>
    </w:p>
    <w:p w14:paraId="530E7F12" w14:textId="77777777" w:rsidR="00734C2B" w:rsidRPr="00B52757" w:rsidRDefault="00734C2B" w:rsidP="00734C2B">
      <w:pPr>
        <w:rPr>
          <w:vanish/>
        </w:rPr>
      </w:pPr>
      <w:bookmarkStart w:id="4" w:name="PE"/>
      <w:r w:rsidRPr="00B52757">
        <w:rPr>
          <w:vanish/>
        </w:rPr>
        <w:t>PE753.573</w:t>
      </w:r>
      <w:bookmarkEnd w:id="4"/>
    </w:p>
    <w:p w14:paraId="6E2DC3C2" w14:textId="1D40D16C" w:rsidR="00734C2B" w:rsidRPr="00B52757" w:rsidRDefault="00734C2B" w:rsidP="00734C2B">
      <w:pPr>
        <w:pStyle w:val="ATHeading3"/>
      </w:pPr>
      <w:bookmarkStart w:id="5" w:name="Sujet"/>
      <w:r w:rsidRPr="00B52757">
        <w:t xml:space="preserve">Νομοθετικό ψήφισμα του Ευρωπαϊκού Κοινοβουλίου της </w:t>
      </w:r>
      <w:r w:rsidR="0015009E">
        <w:t>26ης Μαρτίου</w:t>
      </w:r>
      <w:r w:rsidR="0015009E" w:rsidRPr="00B52757">
        <w:t xml:space="preserve"> </w:t>
      </w:r>
      <w:r w:rsidRPr="00B52757">
        <w:t>2026 σχετικά με την πρόταση οδηγίας του Ευρωπαϊκού Κοινοβουλίου και του Συμβουλίου για την καταπολέμηση της διαφθοράς, την αντικατάσταση της απόφασης-πλαισίου αριθ. 2003/568/ΔΕΥ του Συμβουλίου και της σύμβασης περί της καταπολέμησης της δωροδοκίας στην οποία ενέχονται υπάλληλοι των Ευρωπαϊκών Κοινοτήτων ή των κρατών μελών της Ευρωπαϊκής Ένωσης και για την τροποποίηση της οδηγίας (ΕΕ) 2017/1371 του Ευρωπαϊκού Κοινοβουλίου και του Συμβουλίου</w:t>
      </w:r>
      <w:bookmarkEnd w:id="5"/>
      <w:r w:rsidRPr="00B52757">
        <w:t xml:space="preserve"> </w:t>
      </w:r>
      <w:bookmarkStart w:id="6" w:name="References"/>
      <w:r w:rsidRPr="00B52757">
        <w:t>(COM(2023)0234 – C9-0162/2023 – 2023/0135(COD))</w:t>
      </w:r>
      <w:bookmarkEnd w:id="6"/>
    </w:p>
    <w:p w14:paraId="279121E4" w14:textId="77777777" w:rsidR="006A25CF" w:rsidRDefault="006A25CF" w:rsidP="009C4C2D">
      <w:pPr>
        <w:pStyle w:val="NormalBold"/>
      </w:pPr>
    </w:p>
    <w:p w14:paraId="4399C260" w14:textId="0071C4A2" w:rsidR="009C4C2D" w:rsidRPr="00B52757" w:rsidRDefault="009C4C2D" w:rsidP="009C4C2D">
      <w:pPr>
        <w:pStyle w:val="NormalBold"/>
      </w:pPr>
      <w:r w:rsidRPr="00B52757">
        <w:t>(Συνήθης νομοθετική διαδικασία: πρώτη ανάγνωση)</w:t>
      </w:r>
    </w:p>
    <w:p w14:paraId="7CC2B91C" w14:textId="77777777" w:rsidR="009C4C2D" w:rsidRPr="00B52757" w:rsidRDefault="009C4C2D" w:rsidP="009C4C2D">
      <w:pPr>
        <w:pStyle w:val="EPComma"/>
      </w:pPr>
      <w:r w:rsidRPr="00B52757">
        <w:rPr>
          <w:i/>
          <w:iCs/>
        </w:rPr>
        <w:t>Το Ευρωπαϊκό Κοινοβούλιο,</w:t>
      </w:r>
    </w:p>
    <w:p w14:paraId="55445803" w14:textId="77777777" w:rsidR="009C4C2D" w:rsidRPr="00B52757" w:rsidRDefault="009C4C2D" w:rsidP="009C4C2D">
      <w:pPr>
        <w:pStyle w:val="NormalHanging12a"/>
      </w:pPr>
      <w:r w:rsidRPr="00B52757">
        <w:t>–</w:t>
      </w:r>
      <w:r w:rsidRPr="00B52757">
        <w:tab/>
        <w:t>έχοντας υπόψη την πρόταση της Επιτροπής προς το Κοινοβούλιο και το Συμβούλιο (COM(2023)0234),</w:t>
      </w:r>
    </w:p>
    <w:p w14:paraId="39F15A36" w14:textId="77777777" w:rsidR="009C4C2D" w:rsidRPr="00B52757" w:rsidRDefault="009C4C2D" w:rsidP="009C4C2D">
      <w:pPr>
        <w:pStyle w:val="NormalHanging12a"/>
      </w:pPr>
      <w:r w:rsidRPr="00B52757">
        <w:t>–</w:t>
      </w:r>
      <w:r w:rsidRPr="00B52757">
        <w:tab/>
        <w:t>έχοντας υπόψη το άρθρο 294 παράγραφος 2, το άρθρο 82 παράγραφος 1 στοιχείο δ) και το άρθρο 83 παράγραφοι 1 και 2 της Συνθήκης για τη λειτουργία της Ευρωπαϊκής Ένωσης, σύμφωνα με τα οποία του υποβλήθηκε η πρόταση από την Επιτροπή (C9-0162/2023),</w:t>
      </w:r>
    </w:p>
    <w:p w14:paraId="7B1E8B67" w14:textId="77777777" w:rsidR="009C4C2D" w:rsidRPr="00B52757" w:rsidRDefault="009C4C2D" w:rsidP="009C4C2D">
      <w:pPr>
        <w:pStyle w:val="NormalHanging12a"/>
      </w:pPr>
      <w:r w:rsidRPr="00B52757">
        <w:t>–</w:t>
      </w:r>
      <w:r w:rsidRPr="00B52757">
        <w:tab/>
        <w:t>έχοντας υπόψη το άρθρο 294 παράγραφος 3 της Συνθήκης για τη λειτουργία της Ευρωπαϊκής Ένωσης,</w:t>
      </w:r>
    </w:p>
    <w:p w14:paraId="5DD6DAB0" w14:textId="77777777" w:rsidR="009C4C2D" w:rsidRDefault="009C4C2D" w:rsidP="009C4C2D">
      <w:pPr>
        <w:pStyle w:val="NormalHanging12a"/>
      </w:pPr>
      <w:r w:rsidRPr="00B52757">
        <w:t>–</w:t>
      </w:r>
      <w:r w:rsidRPr="00B52757">
        <w:tab/>
        <w:t xml:space="preserve">έχοντας </w:t>
      </w:r>
      <w:r w:rsidRPr="0015009E">
        <w:t xml:space="preserve">υπόψη </w:t>
      </w:r>
      <w:r w:rsidRPr="00A72ADC">
        <w:t>τις αιτιολογημένες γνώμες</w:t>
      </w:r>
      <w:r w:rsidRPr="0015009E">
        <w:t xml:space="preserve"> που </w:t>
      </w:r>
      <w:r w:rsidRPr="00A72ADC">
        <w:t>υποβλήθηκαν</w:t>
      </w:r>
      <w:r w:rsidRPr="0015009E">
        <w:t xml:space="preserve"> από το Σουηδικό Κοινοβούλιο </w:t>
      </w:r>
      <w:r w:rsidRPr="00A72ADC">
        <w:t>και την Ιταλική Βουλή</w:t>
      </w:r>
      <w:r w:rsidRPr="0015009E">
        <w:t xml:space="preserve"> στο</w:t>
      </w:r>
      <w:r w:rsidRPr="00B52757">
        <w:t xml:space="preserve"> πλαίσιο του πρωτοκόλλου αριθ. 2 σχετικά με την εφαρμογή των αρχών της επικουρικότητας και της αναλογικότητας, με </w:t>
      </w:r>
      <w:r w:rsidRPr="00B52757">
        <w:rPr>
          <w:b/>
          <w:bCs/>
          <w:i/>
          <w:iCs/>
        </w:rPr>
        <w:t>τις οποίες</w:t>
      </w:r>
      <w:r w:rsidRPr="00B52757">
        <w:t xml:space="preserve"> υποστηρίζεται ότι το σχέδιο νομοθετικής πράξης δεν συνάδει προς την αρχή της επικουρικότητας,</w:t>
      </w:r>
    </w:p>
    <w:p w14:paraId="6FF31363" w14:textId="1C1CD317" w:rsidR="002425CA" w:rsidRDefault="002425CA" w:rsidP="009C4C2D">
      <w:pPr>
        <w:pStyle w:val="NormalHanging12a"/>
      </w:pPr>
      <w:r w:rsidRPr="00B52757">
        <w:t>–</w:t>
      </w:r>
      <w:r w:rsidRPr="00B52757">
        <w:tab/>
      </w:r>
      <w:r w:rsidRPr="002425CA">
        <w:t>έχοντας υπόψη τη γνώμη της Ευρωπαϊκής Οικονομικής και Κοινωνικής Επιτροπής</w:t>
      </w:r>
      <w:r w:rsidR="00DC71E9">
        <w:t xml:space="preserve">, της </w:t>
      </w:r>
      <w:r w:rsidR="00DC71E9">
        <w:lastRenderedPageBreak/>
        <w:t>25ης Οκτωβρίου 2023</w:t>
      </w:r>
      <w:r>
        <w:rPr>
          <w:rStyle w:val="FootnoteReference"/>
        </w:rPr>
        <w:footnoteReference w:id="1"/>
      </w:r>
      <w:r w:rsidRPr="002425CA">
        <w:t>,</w:t>
      </w:r>
    </w:p>
    <w:p w14:paraId="5EA27BAD" w14:textId="14BA18B0" w:rsidR="002425CA" w:rsidRDefault="002425CA" w:rsidP="009C4C2D">
      <w:pPr>
        <w:pStyle w:val="NormalHanging12a"/>
      </w:pPr>
      <w:r w:rsidRPr="00B52757">
        <w:t>–</w:t>
      </w:r>
      <w:r w:rsidRPr="00B52757">
        <w:tab/>
      </w:r>
      <w:r w:rsidRPr="002425CA">
        <w:t>έχοντας υπόψη τη γνώμη της Επιτροπής των Περιφερειών</w:t>
      </w:r>
      <w:r w:rsidR="00DC71E9">
        <w:t>, της 29ης Νοεμβρίου 2023</w:t>
      </w:r>
      <w:r>
        <w:rPr>
          <w:rStyle w:val="FootnoteReference"/>
        </w:rPr>
        <w:footnoteReference w:id="2"/>
      </w:r>
      <w:r w:rsidRPr="002425CA">
        <w:t>,</w:t>
      </w:r>
    </w:p>
    <w:p w14:paraId="76D61820" w14:textId="099BFE29" w:rsidR="002425CA" w:rsidRPr="00B52757" w:rsidRDefault="002425CA" w:rsidP="009C4C2D">
      <w:pPr>
        <w:pStyle w:val="NormalHanging12a"/>
      </w:pPr>
      <w:r w:rsidRPr="00B52757">
        <w:t>–</w:t>
      </w:r>
      <w:r w:rsidRPr="00B52757">
        <w:tab/>
      </w:r>
      <w:r w:rsidRPr="002425CA">
        <w:t xml:space="preserve">έχοντας υπόψη την προσωρινή συμφωνία που εγκρίθηκε από την αρμόδια επιτροπή σύμφωνα με το άρθρο 75 παράγραφος 4 του Κανονισμού του και τη δέσμευση του εκπροσώπου του Συμβουλίου, με επιστολή της </w:t>
      </w:r>
      <w:r>
        <w:t>10ης</w:t>
      </w:r>
      <w:r w:rsidRPr="002425CA">
        <w:t xml:space="preserve"> </w:t>
      </w:r>
      <w:r>
        <w:t>Δεκεμβρίου</w:t>
      </w:r>
      <w:r w:rsidRPr="002425CA">
        <w:t xml:space="preserve"> 2025, να εγκρίνει τη θέση του Κοινοβουλίου, σύμφωνα με το άρθρο 294 παράγραφος 4 της Συνθήκης για τη λειτουργία της Ευρωπαϊκής Ένωσης,</w:t>
      </w:r>
    </w:p>
    <w:p w14:paraId="16907DE9" w14:textId="39DAC7C0" w:rsidR="009C4C2D" w:rsidRPr="00B52757" w:rsidRDefault="009C4C2D" w:rsidP="009C4C2D">
      <w:pPr>
        <w:pStyle w:val="NormalHanging12a"/>
      </w:pPr>
      <w:r w:rsidRPr="00B52757">
        <w:t>–</w:t>
      </w:r>
      <w:r w:rsidRPr="00B52757">
        <w:tab/>
        <w:t xml:space="preserve">έχοντας υπόψη το άρθρο </w:t>
      </w:r>
      <w:r w:rsidR="002425CA">
        <w:t>60</w:t>
      </w:r>
      <w:r w:rsidRPr="00B52757">
        <w:t xml:space="preserve"> του Κανονισμού του,</w:t>
      </w:r>
    </w:p>
    <w:p w14:paraId="403B23AB" w14:textId="77777777" w:rsidR="009C4C2D" w:rsidRPr="00B52757" w:rsidRDefault="009C4C2D" w:rsidP="009C4C2D">
      <w:pPr>
        <w:pStyle w:val="NormalHanging12a"/>
      </w:pPr>
      <w:r w:rsidRPr="00B52757">
        <w:t>–</w:t>
      </w:r>
      <w:r w:rsidRPr="00B52757">
        <w:tab/>
        <w:t>έχοντας υπόψη τη γνωμοδότηση της Επιτροπής Ελέγχου του Προϋπολογισμού,</w:t>
      </w:r>
    </w:p>
    <w:p w14:paraId="37D430A9" w14:textId="77777777" w:rsidR="009C4C2D" w:rsidRPr="00B52757" w:rsidRDefault="009C4C2D" w:rsidP="009C4C2D">
      <w:pPr>
        <w:pStyle w:val="NormalHanging12a"/>
      </w:pPr>
      <w:r w:rsidRPr="00B52757">
        <w:t>–</w:t>
      </w:r>
      <w:r w:rsidRPr="00B52757">
        <w:tab/>
        <w:t>έχοντας υπόψη την έκθεση της Επιτροπής Πολιτικών Ελευθεριών, Δικαιοσύνης και Εσωτερικών Υποθέσεων (A9-0048/2024),</w:t>
      </w:r>
    </w:p>
    <w:p w14:paraId="625B9F8E" w14:textId="77777777" w:rsidR="009C4C2D" w:rsidRPr="00B52757" w:rsidRDefault="009C4C2D" w:rsidP="009C4C2D">
      <w:pPr>
        <w:pStyle w:val="NormalHanging12a"/>
      </w:pPr>
      <w:r w:rsidRPr="00B52757">
        <w:t>1.</w:t>
      </w:r>
      <w:r w:rsidRPr="00B52757">
        <w:tab/>
        <w:t xml:space="preserve">εγκρίνει τη θέση του σε πρώτη ανάγνωση όπως παρατίθεται κατωτέρω· </w:t>
      </w:r>
    </w:p>
    <w:p w14:paraId="7004F475" w14:textId="77777777" w:rsidR="009C4C2D" w:rsidRPr="00B52757" w:rsidRDefault="009C4C2D" w:rsidP="009C4C2D">
      <w:pPr>
        <w:pStyle w:val="NormalHanging12a"/>
      </w:pPr>
      <w:r w:rsidRPr="00B52757">
        <w:t>2.</w:t>
      </w:r>
      <w:r w:rsidRPr="00B52757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14:paraId="4909527A" w14:textId="77777777" w:rsidR="00396511" w:rsidRDefault="009C4C2D" w:rsidP="009C4C2D">
      <w:pPr>
        <w:pStyle w:val="NormalHanging12a"/>
      </w:pPr>
      <w:r w:rsidRPr="00B52757">
        <w:t>3.</w:t>
      </w:r>
      <w:r w:rsidRPr="00B52757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14:paraId="35D2CD7E" w14:textId="77777777" w:rsidR="006A25CF" w:rsidRDefault="006A25CF" w:rsidP="009C4C2D">
      <w:pPr>
        <w:pStyle w:val="NormalHanging12a"/>
      </w:pPr>
    </w:p>
    <w:p w14:paraId="38FB76AD" w14:textId="77777777" w:rsidR="006A25CF" w:rsidRDefault="006A25CF" w:rsidP="009C4C2D">
      <w:pPr>
        <w:pStyle w:val="NormalHanging12a"/>
        <w:sectPr w:rsidR="006A25CF" w:rsidSect="00B5275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C413A41" w14:textId="03B1E4AA" w:rsidR="00396511" w:rsidRPr="00396511" w:rsidRDefault="00396511" w:rsidP="00396511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>
        <w:rPr>
          <w:b/>
        </w:rPr>
        <w:lastRenderedPageBreak/>
        <w:t>P10_TC1-COD(202</w:t>
      </w:r>
      <w:r w:rsidRPr="00396511">
        <w:rPr>
          <w:b/>
        </w:rPr>
        <w:t>3</w:t>
      </w:r>
      <w:r w:rsidRPr="00C96A0A">
        <w:rPr>
          <w:b/>
        </w:rPr>
        <w:t>)0</w:t>
      </w:r>
      <w:r>
        <w:rPr>
          <w:b/>
        </w:rPr>
        <w:t>1</w:t>
      </w:r>
      <w:r w:rsidRPr="00396511">
        <w:rPr>
          <w:b/>
        </w:rPr>
        <w:t>35</w:t>
      </w:r>
    </w:p>
    <w:p w14:paraId="79C93D44" w14:textId="3E7C4C3B" w:rsidR="00396511" w:rsidRPr="00396511" w:rsidRDefault="00396511" w:rsidP="00396511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rFonts w:eastAsia="Calibri"/>
          <w:b/>
          <w:color w:val="000000"/>
          <w:szCs w:val="22"/>
          <w:lang w:eastAsia="en-US"/>
        </w:rPr>
      </w:pPr>
      <w:r w:rsidRPr="00C96A0A">
        <w:rPr>
          <w:b/>
        </w:rPr>
        <w:t>Θέση του Ευρωπαϊκού Κοινοβουλίου που καθορίσ</w:t>
      </w:r>
      <w:r>
        <w:rPr>
          <w:b/>
        </w:rPr>
        <w:t>τ</w:t>
      </w:r>
      <w:r w:rsidRPr="00C96A0A">
        <w:rPr>
          <w:b/>
        </w:rPr>
        <w:t xml:space="preserve">ηκε σε πρώτη ανάγνωση στις </w:t>
      </w:r>
      <w:r>
        <w:rPr>
          <w:b/>
        </w:rPr>
        <w:t>26</w:t>
      </w:r>
      <w:r w:rsidRPr="00C96A0A">
        <w:rPr>
          <w:b/>
        </w:rPr>
        <w:t> </w:t>
      </w:r>
      <w:r>
        <w:rPr>
          <w:b/>
        </w:rPr>
        <w:t>Μαρτίου 2026</w:t>
      </w:r>
      <w:r w:rsidRPr="00D819D8">
        <w:rPr>
          <w:b/>
        </w:rPr>
        <w:t xml:space="preserve"> </w:t>
      </w:r>
      <w:r w:rsidRPr="00C96A0A">
        <w:rPr>
          <w:b/>
        </w:rPr>
        <w:t xml:space="preserve">εν όψει της έγκρισης </w:t>
      </w:r>
      <w:r>
        <w:rPr>
          <w:b/>
        </w:rPr>
        <w:t>οδηγίας</w:t>
      </w:r>
      <w:r w:rsidRPr="00C96A0A">
        <w:rPr>
          <w:b/>
        </w:rPr>
        <w:t xml:space="preserve"> (ΕΕ) 20</w:t>
      </w:r>
      <w:r>
        <w:rPr>
          <w:b/>
        </w:rPr>
        <w:t>26</w:t>
      </w:r>
      <w:r w:rsidRPr="00C96A0A">
        <w:rPr>
          <w:b/>
        </w:rPr>
        <w:t xml:space="preserve">/... του Ευρωπαϊκού Κοινοβουλίου και του Συμβουλίου </w:t>
      </w:r>
      <w:r w:rsidRPr="00396511">
        <w:rPr>
          <w:rFonts w:eastAsia="Calibri"/>
          <w:b/>
          <w:color w:val="000000"/>
          <w:szCs w:val="22"/>
          <w:lang w:eastAsia="en-US"/>
        </w:rPr>
        <w:t>για την καταπολέμηση της διαφθοράς, την αντικατάσταση της απόφασης-πλαισίου αριθ. 2003/568/ΔΕΥ του Συμβουλίου και της σύμβασης περί της καταπολέμησης της δωροδοκίας στην οποία ενέχονται υπάλληλοι των Ευρωπαϊκών Κοινοτήτων ή των κρατών μελών της Ευρωπαϊκής Ένωσης και για την τροποποίηση της οδηγίας (ΕΕ) 2017/1371 του</w:t>
      </w:r>
      <w:r w:rsidRPr="00396511">
        <w:rPr>
          <w:rFonts w:eastAsia="Calibri"/>
          <w:b/>
          <w:color w:val="000000"/>
          <w:szCs w:val="22"/>
          <w:lang w:val="en-US" w:eastAsia="en-US"/>
        </w:rPr>
        <w:t> </w:t>
      </w:r>
      <w:r w:rsidRPr="00396511">
        <w:rPr>
          <w:rFonts w:eastAsia="Calibri"/>
          <w:b/>
          <w:color w:val="000000"/>
          <w:szCs w:val="22"/>
          <w:lang w:eastAsia="en-US"/>
        </w:rPr>
        <w:t>Ευρωπαϊκού Κοινοβουλίου και του Συμβουλίου</w:t>
      </w:r>
    </w:p>
    <w:p w14:paraId="7C5CE51E" w14:textId="3B5A14F0" w:rsidR="009C4C2D" w:rsidRPr="00B52757" w:rsidRDefault="006E2320" w:rsidP="009C4C2D">
      <w:r w:rsidRPr="007B7B26">
        <w:rPr>
          <w:i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i/>
        </w:rPr>
        <w:t xml:space="preserve">οδηγία </w:t>
      </w:r>
      <w:r w:rsidRPr="007B7B26">
        <w:rPr>
          <w:i/>
        </w:rPr>
        <w:t>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</w:t>
      </w:r>
      <w:r>
        <w:rPr>
          <w:i/>
        </w:rPr>
        <w:t>6</w:t>
      </w:r>
      <w:r>
        <w:rPr>
          <w:i/>
        </w:rPr>
        <w:t>/</w:t>
      </w:r>
      <w:r>
        <w:rPr>
          <w:i/>
        </w:rPr>
        <w:t>1021</w:t>
      </w:r>
      <w:r>
        <w:rPr>
          <w:i/>
        </w:rPr>
        <w:t>.)</w:t>
      </w:r>
    </w:p>
    <w:sectPr w:rsidR="009C4C2D" w:rsidRPr="00B52757" w:rsidSect="00B5275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30D7D" w14:textId="77777777" w:rsidR="00734C2B" w:rsidRPr="00B52757" w:rsidRDefault="00734C2B">
      <w:r w:rsidRPr="00B52757">
        <w:separator/>
      </w:r>
    </w:p>
  </w:endnote>
  <w:endnote w:type="continuationSeparator" w:id="0">
    <w:p w14:paraId="3151CB48" w14:textId="77777777" w:rsidR="00734C2B" w:rsidRPr="00B52757" w:rsidRDefault="00734C2B">
      <w:r w:rsidRPr="00B527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EEB04" w14:textId="77777777" w:rsidR="00064002" w:rsidRPr="00B5275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6A9AD" w14:textId="77777777" w:rsidR="00064002" w:rsidRPr="00B5275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03796" w14:textId="77777777" w:rsidR="00064002" w:rsidRPr="00B5275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A86BD" w14:textId="77777777" w:rsidR="00734C2B" w:rsidRPr="00B52757" w:rsidRDefault="00734C2B">
      <w:r w:rsidRPr="00B52757">
        <w:separator/>
      </w:r>
    </w:p>
  </w:footnote>
  <w:footnote w:type="continuationSeparator" w:id="0">
    <w:p w14:paraId="61E1A360" w14:textId="77777777" w:rsidR="00734C2B" w:rsidRPr="00B52757" w:rsidRDefault="00734C2B">
      <w:r w:rsidRPr="00B52757">
        <w:continuationSeparator/>
      </w:r>
    </w:p>
  </w:footnote>
  <w:footnote w:id="1">
    <w:p w14:paraId="255D90F9" w14:textId="345E205F" w:rsidR="002425CA" w:rsidRPr="00A72ADC" w:rsidRDefault="002425CA" w:rsidP="006A25CF">
      <w:pPr>
        <w:pStyle w:val="FootnoteText"/>
        <w:tabs>
          <w:tab w:val="left" w:pos="709"/>
        </w:tabs>
        <w:spacing w:line="240" w:lineRule="auto"/>
        <w:ind w:left="720" w:hanging="720"/>
        <w:rPr>
          <w:sz w:val="24"/>
          <w:szCs w:val="24"/>
          <w:lang w:val="fi-FI"/>
        </w:rPr>
      </w:pPr>
      <w:r w:rsidRPr="00A72ADC">
        <w:rPr>
          <w:rStyle w:val="FootnoteReference"/>
          <w:sz w:val="24"/>
          <w:szCs w:val="24"/>
        </w:rPr>
        <w:footnoteRef/>
      </w:r>
      <w:r w:rsidRPr="00A72ADC">
        <w:rPr>
          <w:sz w:val="24"/>
          <w:szCs w:val="24"/>
          <w:lang w:val="fi-FI"/>
        </w:rPr>
        <w:t xml:space="preserve"> </w:t>
      </w:r>
      <w:r w:rsidRPr="00A72ADC">
        <w:rPr>
          <w:sz w:val="24"/>
          <w:szCs w:val="24"/>
          <w:lang w:val="fi-FI"/>
        </w:rPr>
        <w:tab/>
      </w:r>
      <w:r>
        <w:rPr>
          <w:sz w:val="24"/>
          <w:szCs w:val="24"/>
          <w:lang w:val="el-GR"/>
        </w:rPr>
        <w:t>ΕΕ</w:t>
      </w:r>
      <w:r w:rsidRPr="00A72ADC">
        <w:rPr>
          <w:sz w:val="24"/>
          <w:szCs w:val="24"/>
          <w:lang w:val="fi-FI"/>
        </w:rPr>
        <w:t xml:space="preserve"> C, C/2024/886, 6.2.2024, ELI: </w:t>
      </w:r>
      <w:hyperlink r:id="rId1" w:history="1">
        <w:r w:rsidRPr="00A72ADC">
          <w:rPr>
            <w:rStyle w:val="Hyperlink"/>
            <w:sz w:val="24"/>
            <w:szCs w:val="24"/>
            <w:lang w:val="fi-FI"/>
          </w:rPr>
          <w:t>http://data.europa.eu/eli/C/2024/886/oj</w:t>
        </w:r>
      </w:hyperlink>
      <w:r w:rsidRPr="00A72ADC">
        <w:rPr>
          <w:sz w:val="24"/>
          <w:szCs w:val="24"/>
          <w:lang w:val="fi-FI"/>
        </w:rPr>
        <w:t>.</w:t>
      </w:r>
    </w:p>
  </w:footnote>
  <w:footnote w:id="2">
    <w:p w14:paraId="36C30850" w14:textId="2733C489" w:rsidR="002425CA" w:rsidRPr="00A72ADC" w:rsidRDefault="002425CA" w:rsidP="006A25CF">
      <w:pPr>
        <w:pStyle w:val="FootnoteText"/>
        <w:tabs>
          <w:tab w:val="left" w:pos="709"/>
        </w:tabs>
        <w:spacing w:line="240" w:lineRule="auto"/>
        <w:ind w:left="720" w:hanging="720"/>
        <w:rPr>
          <w:sz w:val="24"/>
          <w:szCs w:val="24"/>
          <w:lang w:val="fi-FI"/>
        </w:rPr>
      </w:pPr>
      <w:r w:rsidRPr="00A72ADC">
        <w:rPr>
          <w:rStyle w:val="FootnoteReference"/>
          <w:sz w:val="24"/>
          <w:szCs w:val="24"/>
        </w:rPr>
        <w:footnoteRef/>
      </w:r>
      <w:r w:rsidRPr="00A72ADC">
        <w:rPr>
          <w:sz w:val="24"/>
          <w:szCs w:val="24"/>
          <w:lang w:val="fi-FI"/>
        </w:rPr>
        <w:t xml:space="preserve"> </w:t>
      </w:r>
      <w:r w:rsidRPr="00A72ADC">
        <w:rPr>
          <w:sz w:val="24"/>
          <w:szCs w:val="24"/>
          <w:lang w:val="fi-FI"/>
        </w:rPr>
        <w:tab/>
      </w:r>
      <w:r>
        <w:rPr>
          <w:sz w:val="24"/>
          <w:szCs w:val="24"/>
          <w:lang w:val="el-GR"/>
        </w:rPr>
        <w:t>ΕΕ</w:t>
      </w:r>
      <w:r w:rsidRPr="00A72ADC">
        <w:rPr>
          <w:sz w:val="24"/>
          <w:szCs w:val="24"/>
          <w:lang w:val="fi-FI"/>
        </w:rPr>
        <w:t xml:space="preserve"> C, C/2024/1048, 9.2.2024, ELI: </w:t>
      </w:r>
      <w:hyperlink r:id="rId2" w:history="1">
        <w:r w:rsidRPr="00A72ADC">
          <w:rPr>
            <w:rStyle w:val="Hyperlink"/>
            <w:sz w:val="24"/>
            <w:szCs w:val="24"/>
            <w:lang w:val="fi-FI"/>
          </w:rPr>
          <w:t>http://data.europa.eu/eli/C/2024/1048/oj</w:t>
        </w:r>
      </w:hyperlink>
      <w:r w:rsidRPr="00A72ADC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12D2D" w14:textId="77777777" w:rsidR="00064002" w:rsidRPr="00B5275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9118C" w14:textId="77777777" w:rsidR="00064002" w:rsidRPr="00B5275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4B9CA" w14:textId="77777777" w:rsidR="00064002" w:rsidRPr="00B5275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25A97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1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4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17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18" w15:restartNumberingAfterBreak="0">
    <w:nsid w:val="172B0495"/>
    <w:multiLevelType w:val="multilevel"/>
    <w:tmpl w:val="0364843A"/>
    <w:name w:val="Heading ABC"/>
    <w:lvl w:ilvl="0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HeadingABC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i w:val="0"/>
        <w:iCs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2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3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3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3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9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1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7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8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385034604">
    <w:abstractNumId w:val="9"/>
  </w:num>
  <w:num w:numId="2" w16cid:durableId="131488674">
    <w:abstractNumId w:val="9"/>
  </w:num>
  <w:num w:numId="3" w16cid:durableId="1640112232">
    <w:abstractNumId w:val="7"/>
  </w:num>
  <w:num w:numId="4" w16cid:durableId="1381325872">
    <w:abstractNumId w:val="7"/>
  </w:num>
  <w:num w:numId="5" w16cid:durableId="1636257277">
    <w:abstractNumId w:val="6"/>
  </w:num>
  <w:num w:numId="6" w16cid:durableId="1769959008">
    <w:abstractNumId w:val="6"/>
  </w:num>
  <w:num w:numId="7" w16cid:durableId="1628468477">
    <w:abstractNumId w:val="5"/>
  </w:num>
  <w:num w:numId="8" w16cid:durableId="2069567678">
    <w:abstractNumId w:val="5"/>
  </w:num>
  <w:num w:numId="9" w16cid:durableId="357705798">
    <w:abstractNumId w:val="4"/>
  </w:num>
  <w:num w:numId="10" w16cid:durableId="1648705850">
    <w:abstractNumId w:val="4"/>
  </w:num>
  <w:num w:numId="11" w16cid:durableId="1700737713">
    <w:abstractNumId w:val="8"/>
  </w:num>
  <w:num w:numId="12" w16cid:durableId="680820223">
    <w:abstractNumId w:val="8"/>
  </w:num>
  <w:num w:numId="13" w16cid:durableId="1278026050">
    <w:abstractNumId w:val="3"/>
  </w:num>
  <w:num w:numId="14" w16cid:durableId="1566066412">
    <w:abstractNumId w:val="3"/>
  </w:num>
  <w:num w:numId="15" w16cid:durableId="439449795">
    <w:abstractNumId w:val="2"/>
  </w:num>
  <w:num w:numId="16" w16cid:durableId="302469708">
    <w:abstractNumId w:val="2"/>
  </w:num>
  <w:num w:numId="17" w16cid:durableId="1869293894">
    <w:abstractNumId w:val="1"/>
  </w:num>
  <w:num w:numId="18" w16cid:durableId="546068673">
    <w:abstractNumId w:val="1"/>
  </w:num>
  <w:num w:numId="19" w16cid:durableId="1194880729">
    <w:abstractNumId w:val="0"/>
  </w:num>
  <w:num w:numId="20" w16cid:durableId="1481193011">
    <w:abstractNumId w:val="0"/>
  </w:num>
  <w:num w:numId="21" w16cid:durableId="93869516">
    <w:abstractNumId w:val="9"/>
  </w:num>
  <w:num w:numId="22" w16cid:durableId="506285294">
    <w:abstractNumId w:val="7"/>
  </w:num>
  <w:num w:numId="23" w16cid:durableId="1246382217">
    <w:abstractNumId w:val="6"/>
  </w:num>
  <w:num w:numId="24" w16cid:durableId="1299872580">
    <w:abstractNumId w:val="5"/>
  </w:num>
  <w:num w:numId="25" w16cid:durableId="356397890">
    <w:abstractNumId w:val="4"/>
  </w:num>
  <w:num w:numId="26" w16cid:durableId="521169885">
    <w:abstractNumId w:val="8"/>
  </w:num>
  <w:num w:numId="27" w16cid:durableId="246040648">
    <w:abstractNumId w:val="3"/>
  </w:num>
  <w:num w:numId="28" w16cid:durableId="2031836073">
    <w:abstractNumId w:val="2"/>
  </w:num>
  <w:num w:numId="29" w16cid:durableId="1140659144">
    <w:abstractNumId w:val="1"/>
  </w:num>
  <w:num w:numId="30" w16cid:durableId="683629148">
    <w:abstractNumId w:val="0"/>
  </w:num>
  <w:num w:numId="31" w16cid:durableId="1521041653">
    <w:abstractNumId w:val="9"/>
  </w:num>
  <w:num w:numId="32" w16cid:durableId="1088502226">
    <w:abstractNumId w:val="7"/>
  </w:num>
  <w:num w:numId="33" w16cid:durableId="1472941588">
    <w:abstractNumId w:val="6"/>
  </w:num>
  <w:num w:numId="34" w16cid:durableId="1839923250">
    <w:abstractNumId w:val="5"/>
  </w:num>
  <w:num w:numId="35" w16cid:durableId="769468466">
    <w:abstractNumId w:val="4"/>
  </w:num>
  <w:num w:numId="36" w16cid:durableId="2027516349">
    <w:abstractNumId w:val="8"/>
  </w:num>
  <w:num w:numId="37" w16cid:durableId="525220556">
    <w:abstractNumId w:val="3"/>
  </w:num>
  <w:num w:numId="38" w16cid:durableId="650410551">
    <w:abstractNumId w:val="2"/>
  </w:num>
  <w:num w:numId="39" w16cid:durableId="1783378201">
    <w:abstractNumId w:val="1"/>
  </w:num>
  <w:num w:numId="40" w16cid:durableId="1564675086">
    <w:abstractNumId w:val="0"/>
  </w:num>
  <w:num w:numId="41" w16cid:durableId="1129280309">
    <w:abstractNumId w:val="12"/>
  </w:num>
  <w:num w:numId="42" w16cid:durableId="1961915730">
    <w:abstractNumId w:val="12"/>
  </w:num>
  <w:num w:numId="43" w16cid:durableId="1441338889">
    <w:abstractNumId w:val="12"/>
  </w:num>
  <w:num w:numId="44" w16cid:durableId="1692149838">
    <w:abstractNumId w:val="23"/>
  </w:num>
  <w:num w:numId="45" w16cid:durableId="1371224461">
    <w:abstractNumId w:val="17"/>
  </w:num>
  <w:num w:numId="46" w16cid:durableId="1583297739">
    <w:abstractNumId w:val="28"/>
  </w:num>
  <w:num w:numId="47" w16cid:durableId="493028266">
    <w:abstractNumId w:val="31"/>
  </w:num>
  <w:num w:numId="48" w16cid:durableId="19748251">
    <w:abstractNumId w:val="30"/>
  </w:num>
  <w:num w:numId="49" w16cid:durableId="194975596">
    <w:abstractNumId w:val="47"/>
  </w:num>
  <w:num w:numId="50" w16cid:durableId="2051998500">
    <w:abstractNumId w:val="24"/>
  </w:num>
  <w:num w:numId="51" w16cid:durableId="920985168">
    <w:abstractNumId w:val="25"/>
  </w:num>
  <w:num w:numId="52" w16cid:durableId="859395038">
    <w:abstractNumId w:val="26"/>
  </w:num>
  <w:num w:numId="53" w16cid:durableId="1884709445">
    <w:abstractNumId w:val="29"/>
  </w:num>
  <w:num w:numId="54" w16cid:durableId="907809623">
    <w:abstractNumId w:val="19"/>
  </w:num>
  <w:num w:numId="55" w16cid:durableId="1276255905">
    <w:abstractNumId w:val="48"/>
  </w:num>
  <w:num w:numId="56" w16cid:durableId="641539383">
    <w:abstractNumId w:val="22"/>
  </w:num>
  <w:num w:numId="57" w16cid:durableId="1463424940">
    <w:abstractNumId w:val="15"/>
  </w:num>
  <w:num w:numId="58" w16cid:durableId="1445808034">
    <w:abstractNumId w:val="14"/>
  </w:num>
  <w:num w:numId="59" w16cid:durableId="1852645536">
    <w:abstractNumId w:val="41"/>
  </w:num>
  <w:num w:numId="60" w16cid:durableId="850142578">
    <w:abstractNumId w:val="39"/>
  </w:num>
  <w:num w:numId="61" w16cid:durableId="9839530">
    <w:abstractNumId w:val="34"/>
  </w:num>
  <w:num w:numId="62" w16cid:durableId="1073358758">
    <w:abstractNumId w:val="44"/>
  </w:num>
  <w:num w:numId="63" w16cid:durableId="1326860946">
    <w:abstractNumId w:val="43"/>
  </w:num>
  <w:num w:numId="64" w16cid:durableId="1663196454">
    <w:abstractNumId w:val="45"/>
  </w:num>
  <w:num w:numId="65" w16cid:durableId="808937615">
    <w:abstractNumId w:val="16"/>
  </w:num>
  <w:num w:numId="66" w16cid:durableId="1466007105">
    <w:abstractNumId w:val="37"/>
  </w:num>
  <w:num w:numId="67" w16cid:durableId="1475875094">
    <w:abstractNumId w:val="11"/>
  </w:num>
  <w:num w:numId="68" w16cid:durableId="1816027014">
    <w:abstractNumId w:val="38"/>
  </w:num>
  <w:num w:numId="69" w16cid:durableId="1689023111">
    <w:abstractNumId w:val="35"/>
  </w:num>
  <w:num w:numId="70" w16cid:durableId="1106273980">
    <w:abstractNumId w:val="13"/>
  </w:num>
  <w:num w:numId="71" w16cid:durableId="154153400">
    <w:abstractNumId w:val="42"/>
  </w:num>
  <w:num w:numId="72" w16cid:durableId="366873316">
    <w:abstractNumId w:val="46"/>
  </w:num>
  <w:num w:numId="73" w16cid:durableId="1037966521">
    <w:abstractNumId w:val="32"/>
  </w:num>
  <w:num w:numId="74" w16cid:durableId="1971782157">
    <w:abstractNumId w:val="40"/>
  </w:num>
  <w:num w:numId="75" w16cid:durableId="2094692991">
    <w:abstractNumId w:val="36"/>
  </w:num>
  <w:num w:numId="76" w16cid:durableId="1095132390">
    <w:abstractNumId w:val="27"/>
  </w:num>
  <w:num w:numId="77" w16cid:durableId="1755589573">
    <w:abstractNumId w:val="10"/>
  </w:num>
  <w:num w:numId="78" w16cid:durableId="1059204818">
    <w:abstractNumId w:val="20"/>
  </w:num>
  <w:num w:numId="79" w16cid:durableId="1023554113">
    <w:abstractNumId w:val="18"/>
  </w:num>
  <w:num w:numId="80" w16cid:durableId="1342467967">
    <w:abstractNumId w:val="21"/>
  </w:num>
  <w:num w:numId="81" w16cid:durableId="127771736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048/2024"/>
    <w:docVar w:name="dvlangue" w:val="EL"/>
    <w:docVar w:name="dvnumam" w:val="251"/>
    <w:docVar w:name="dvpe" w:val="753.573"/>
    <w:docVar w:name="dvrapporteur" w:val="Εισηγήτρια: "/>
    <w:docVar w:name="dvtitre" w:val="Νομοθετικό ψήφισμα του Ευρωπαϊκού Κοινοβουλίου της ... 2026 σχετικά με την πρόταση οδηγίας του Ευρωπαϊκού Κοινοβουλίου και του Συμβουλίου για την καταπολέμηση της διαφθοράς, την αντικατάσταση της απόφασης-πλαισίου αριθ. 2003/568/ΔΕΥ του Συμβουλίου και της σύμβασης περί της καταπολέμησης της δωροδοκίας στην οποία ενέχονται υπάλληλοι των Ευρωπαϊκών Κοινοτήτων ή των κρατών μελών της Ευρωπαϊκής Ένωσης και για την τροποποίηση της οδηγίας (ΕΕ) 2017/1371 του Ευρωπαϊκού Κοινοβουλίου και του Συμβουλίου(COM(2023)0234 – C9-0162/2023 – 2023/0135(COD))"/>
  </w:docVars>
  <w:rsids>
    <w:rsidRoot w:val="00734C2B"/>
    <w:rsid w:val="00002272"/>
    <w:rsid w:val="00054D0E"/>
    <w:rsid w:val="00064002"/>
    <w:rsid w:val="000677B9"/>
    <w:rsid w:val="000831BA"/>
    <w:rsid w:val="000A42CC"/>
    <w:rsid w:val="000E7DD9"/>
    <w:rsid w:val="0010095E"/>
    <w:rsid w:val="00125B37"/>
    <w:rsid w:val="0015009E"/>
    <w:rsid w:val="00187494"/>
    <w:rsid w:val="001F32AE"/>
    <w:rsid w:val="002425CA"/>
    <w:rsid w:val="0024624F"/>
    <w:rsid w:val="002767FF"/>
    <w:rsid w:val="002B18FE"/>
    <w:rsid w:val="002B5493"/>
    <w:rsid w:val="002C1C4C"/>
    <w:rsid w:val="00331FD2"/>
    <w:rsid w:val="00343214"/>
    <w:rsid w:val="0035339D"/>
    <w:rsid w:val="00361C00"/>
    <w:rsid w:val="00395FA1"/>
    <w:rsid w:val="00396511"/>
    <w:rsid w:val="003E15D4"/>
    <w:rsid w:val="00411CCE"/>
    <w:rsid w:val="0041666E"/>
    <w:rsid w:val="00421060"/>
    <w:rsid w:val="00471C19"/>
    <w:rsid w:val="004867E3"/>
    <w:rsid w:val="00493AF7"/>
    <w:rsid w:val="00494A28"/>
    <w:rsid w:val="004A2230"/>
    <w:rsid w:val="004C0004"/>
    <w:rsid w:val="004C5D52"/>
    <w:rsid w:val="0050519A"/>
    <w:rsid w:val="005072A1"/>
    <w:rsid w:val="00514517"/>
    <w:rsid w:val="005275C2"/>
    <w:rsid w:val="00545827"/>
    <w:rsid w:val="00560270"/>
    <w:rsid w:val="005675BD"/>
    <w:rsid w:val="005C2568"/>
    <w:rsid w:val="005F1B17"/>
    <w:rsid w:val="006037C0"/>
    <w:rsid w:val="006631B6"/>
    <w:rsid w:val="00680577"/>
    <w:rsid w:val="006A25CF"/>
    <w:rsid w:val="006C028D"/>
    <w:rsid w:val="006E2320"/>
    <w:rsid w:val="006F74FA"/>
    <w:rsid w:val="00731ADD"/>
    <w:rsid w:val="00734777"/>
    <w:rsid w:val="00734C2B"/>
    <w:rsid w:val="00747932"/>
    <w:rsid w:val="00751A4A"/>
    <w:rsid w:val="00756632"/>
    <w:rsid w:val="00762C74"/>
    <w:rsid w:val="00786EC0"/>
    <w:rsid w:val="007C6204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4C2D"/>
    <w:rsid w:val="00A1687D"/>
    <w:rsid w:val="00A43E52"/>
    <w:rsid w:val="00A4678D"/>
    <w:rsid w:val="00A72ADC"/>
    <w:rsid w:val="00A778C7"/>
    <w:rsid w:val="00AB441E"/>
    <w:rsid w:val="00AB6293"/>
    <w:rsid w:val="00AD2B0D"/>
    <w:rsid w:val="00AE0928"/>
    <w:rsid w:val="00AF3B82"/>
    <w:rsid w:val="00B12E95"/>
    <w:rsid w:val="00B22876"/>
    <w:rsid w:val="00B257A2"/>
    <w:rsid w:val="00B52757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71E9"/>
    <w:rsid w:val="00E365E1"/>
    <w:rsid w:val="00E5268A"/>
    <w:rsid w:val="00E820A4"/>
    <w:rsid w:val="00EB006A"/>
    <w:rsid w:val="00EB1C80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C2DCE6"/>
  <w15:chartTrackingRefBased/>
  <w15:docId w15:val="{E7ED2FBF-3B1A-489B-95BF-5F53CFEC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List Bullet 2" w:uiPriority="99"/>
    <w:lsdException w:name="Title" w:uiPriority="10" w:qFormat="1"/>
    <w:lsdException w:name="Subtitle" w:uiPriority="11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Exposant 3 Point,Footnote,Footnote Reference Number,Footnote Reference Superscript,Footnote Reference_LVL6,Footnote Reference_LVL61,Footnote Reference_LVL62,Footnote reference number,Footnote symbol,Ref,Times 10 Point,note TESI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9C4C2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9C4C2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9C4C2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9C4C2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4C2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4C2D"/>
    <w:rPr>
      <w:i/>
      <w:sz w:val="22"/>
      <w:lang w:val="el-G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4C2D"/>
    <w:rPr>
      <w:rFonts w:ascii="Arial" w:hAnsi="Arial"/>
      <w:sz w:val="24"/>
      <w:lang w:val="el-G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4C2D"/>
    <w:rPr>
      <w:rFonts w:ascii="Arial" w:hAnsi="Arial"/>
      <w:i/>
      <w:sz w:val="24"/>
      <w:lang w:val="el-G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4C2D"/>
    <w:rPr>
      <w:rFonts w:ascii="Arial" w:hAnsi="Arial"/>
      <w:b/>
      <w:i/>
      <w:sz w:val="18"/>
      <w:lang w:val="el-GR"/>
    </w:rPr>
  </w:style>
  <w:style w:type="paragraph" w:styleId="TOCHeading">
    <w:name w:val="TOC Heading"/>
    <w:basedOn w:val="Normal"/>
    <w:next w:val="Normal"/>
    <w:uiPriority w:val="39"/>
    <w:unhideWhenUsed/>
    <w:qFormat/>
    <w:rsid w:val="009C4C2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C4C2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C4C2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C4C2D"/>
    <w:pPr>
      <w:spacing w:after="120"/>
    </w:pPr>
  </w:style>
  <w:style w:type="paragraph" w:customStyle="1" w:styleId="PageHeading">
    <w:name w:val="PageHeading"/>
    <w:basedOn w:val="Normal"/>
    <w:rsid w:val="009C4C2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C4C2D"/>
    <w:rPr>
      <w:b/>
    </w:rPr>
  </w:style>
  <w:style w:type="paragraph" w:customStyle="1" w:styleId="NormalBold12a">
    <w:name w:val="NormalBold12a"/>
    <w:basedOn w:val="Normal"/>
    <w:rsid w:val="009C4C2D"/>
    <w:pPr>
      <w:spacing w:after="240"/>
    </w:pPr>
    <w:rPr>
      <w:b/>
    </w:rPr>
  </w:style>
  <w:style w:type="paragraph" w:customStyle="1" w:styleId="AmJustText">
    <w:name w:val="AmJustText"/>
    <w:basedOn w:val="Normal"/>
    <w:rsid w:val="009C4C2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C4C2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C4C2D"/>
    <w:pPr>
      <w:spacing w:after="480"/>
      <w:ind w:left="1417"/>
    </w:pPr>
  </w:style>
  <w:style w:type="paragraph" w:customStyle="1" w:styleId="CoverNormal">
    <w:name w:val="CoverNormal"/>
    <w:basedOn w:val="Normal"/>
    <w:rsid w:val="009C4C2D"/>
    <w:pPr>
      <w:ind w:left="1418"/>
    </w:pPr>
  </w:style>
  <w:style w:type="paragraph" w:customStyle="1" w:styleId="AmCrossRef">
    <w:name w:val="AmCrossRef"/>
    <w:basedOn w:val="Normal"/>
    <w:rsid w:val="009C4C2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C4C2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C4C2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C4C2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C4C2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C4C2D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9C4C2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4C2D"/>
    <w:rPr>
      <w:sz w:val="24"/>
      <w:lang w:val="el-GR"/>
    </w:rPr>
  </w:style>
  <w:style w:type="paragraph" w:customStyle="1" w:styleId="AmOrLang">
    <w:name w:val="AmOrLang"/>
    <w:basedOn w:val="Normal"/>
    <w:rsid w:val="009C4C2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C4C2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9C4C2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C4C2D"/>
    <w:pPr>
      <w:spacing w:before="240"/>
    </w:pPr>
    <w:rPr>
      <w:b/>
    </w:rPr>
  </w:style>
  <w:style w:type="paragraph" w:customStyle="1" w:styleId="EPBody">
    <w:name w:val="EPBody"/>
    <w:basedOn w:val="Normal"/>
    <w:rsid w:val="009C4C2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C4C2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C4C2D"/>
    <w:pPr>
      <w:spacing w:before="480" w:after="240"/>
    </w:pPr>
  </w:style>
  <w:style w:type="paragraph" w:customStyle="1" w:styleId="Lgendesigne">
    <w:name w:val="Légende signe"/>
    <w:basedOn w:val="Normal"/>
    <w:rsid w:val="009C4C2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C4C2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C4C2D"/>
    <w:rPr>
      <w:sz w:val="18"/>
    </w:rPr>
  </w:style>
  <w:style w:type="paragraph" w:customStyle="1" w:styleId="msonormal0">
    <w:name w:val="msonormal"/>
    <w:basedOn w:val="Normal"/>
    <w:rsid w:val="009C4C2D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9C4C2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4C2D"/>
    <w:rPr>
      <w:sz w:val="24"/>
      <w:lang w:val="el-GR"/>
    </w:rPr>
  </w:style>
  <w:style w:type="character" w:customStyle="1" w:styleId="Normal12Char">
    <w:name w:val="Normal12 Char"/>
    <w:basedOn w:val="DefaultParagraphFont"/>
    <w:link w:val="Normal12"/>
    <w:locked/>
    <w:rsid w:val="009C4C2D"/>
    <w:rPr>
      <w:noProof/>
      <w:sz w:val="24"/>
    </w:rPr>
  </w:style>
  <w:style w:type="paragraph" w:customStyle="1" w:styleId="Normal12">
    <w:name w:val="Normal12"/>
    <w:basedOn w:val="Normal"/>
    <w:link w:val="Normal12Char"/>
    <w:rsid w:val="009C4C2D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9C4C2D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C4C2D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C4C2D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9C4C2D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9C4C2D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9C4C2D"/>
    <w:rPr>
      <w:sz w:val="24"/>
      <w:lang w:val="el-GR"/>
    </w:rPr>
  </w:style>
  <w:style w:type="paragraph" w:customStyle="1" w:styleId="Normal6">
    <w:name w:val="Normal6"/>
    <w:basedOn w:val="Normal"/>
    <w:link w:val="Normal6Char"/>
    <w:rsid w:val="009C4C2D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C4C2D"/>
    <w:rPr>
      <w:b/>
      <w:sz w:val="24"/>
      <w:lang w:val="el-GR"/>
    </w:rPr>
  </w:style>
  <w:style w:type="paragraph" w:customStyle="1" w:styleId="Normal12Italic">
    <w:name w:val="Normal12Italic"/>
    <w:basedOn w:val="Normal12"/>
    <w:rsid w:val="009C4C2D"/>
    <w:rPr>
      <w:i/>
    </w:rPr>
  </w:style>
  <w:style w:type="paragraph" w:customStyle="1" w:styleId="JustificationTitle">
    <w:name w:val="JustificationTitle"/>
    <w:basedOn w:val="Normal"/>
    <w:next w:val="Normal12"/>
    <w:rsid w:val="009C4C2D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9C4C2D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9C4C2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C4C2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9C4C2D"/>
    <w:pPr>
      <w:spacing w:before="240"/>
      <w:jc w:val="center"/>
    </w:pPr>
    <w:rPr>
      <w:i/>
    </w:rPr>
  </w:style>
  <w:style w:type="character" w:customStyle="1" w:styleId="Footer2Middle">
    <w:name w:val="Footer2Middle"/>
    <w:rsid w:val="009C4C2D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9C4C2D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iPriority w:val="99"/>
    <w:unhideWhenUsed/>
    <w:rsid w:val="009C4C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C4C2D"/>
    <w:rPr>
      <w:rFonts w:ascii="Segoe UI" w:hAnsi="Segoe UI" w:cs="Segoe UI"/>
      <w:sz w:val="18"/>
      <w:szCs w:val="18"/>
      <w:lang w:val="el-GR"/>
    </w:rPr>
  </w:style>
  <w:style w:type="character" w:styleId="CommentReference">
    <w:name w:val="annotation reference"/>
    <w:basedOn w:val="DefaultParagraphFont"/>
    <w:rsid w:val="009C4C2D"/>
    <w:rPr>
      <w:sz w:val="16"/>
      <w:szCs w:val="16"/>
    </w:rPr>
  </w:style>
  <w:style w:type="paragraph" w:styleId="CommentText">
    <w:name w:val="annotation text"/>
    <w:basedOn w:val="Normal"/>
    <w:link w:val="CommentTextChar"/>
    <w:rsid w:val="009C4C2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C4C2D"/>
    <w:rPr>
      <w:lang w:val="el-G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C4C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C4C2D"/>
    <w:rPr>
      <w:b/>
      <w:bCs/>
      <w:lang w:val="el-GR"/>
    </w:rPr>
  </w:style>
  <w:style w:type="paragraph" w:customStyle="1" w:styleId="Normal1">
    <w:name w:val="Normal1"/>
    <w:basedOn w:val="Normal"/>
    <w:rsid w:val="009C4C2D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9C4C2D"/>
    <w:rPr>
      <w:sz w:val="24"/>
      <w:lang w:val="el-GR"/>
    </w:rPr>
  </w:style>
  <w:style w:type="character" w:customStyle="1" w:styleId="AmNumberTabsChar">
    <w:name w:val="AmNumberTabs Char"/>
    <w:basedOn w:val="DefaultParagraphFont"/>
    <w:link w:val="AmNumberTabs"/>
    <w:rsid w:val="009C4C2D"/>
    <w:rPr>
      <w:b/>
      <w:sz w:val="24"/>
      <w:lang w:val="el-GR"/>
    </w:rPr>
  </w:style>
  <w:style w:type="character" w:customStyle="1" w:styleId="NormalBold12bChar">
    <w:name w:val="NormalBold12b Char"/>
    <w:basedOn w:val="AmNumberTabsChar"/>
    <w:link w:val="NormalBold12b"/>
    <w:rsid w:val="009C4C2D"/>
    <w:rPr>
      <w:b/>
      <w:sz w:val="24"/>
      <w:lang w:val="el-GR"/>
    </w:rPr>
  </w:style>
  <w:style w:type="paragraph" w:customStyle="1" w:styleId="Normal24a">
    <w:name w:val="Normal24a"/>
    <w:basedOn w:val="Normal"/>
    <w:rsid w:val="009C4C2D"/>
    <w:pPr>
      <w:spacing w:after="480"/>
    </w:pPr>
  </w:style>
  <w:style w:type="paragraph" w:customStyle="1" w:styleId="NormalBoldCenter">
    <w:name w:val="NormalBoldCenter"/>
    <w:basedOn w:val="Normal"/>
    <w:rsid w:val="009C4C2D"/>
    <w:pPr>
      <w:jc w:val="center"/>
    </w:pPr>
    <w:rPr>
      <w:b/>
    </w:rPr>
  </w:style>
  <w:style w:type="paragraph" w:customStyle="1" w:styleId="Normal12a">
    <w:name w:val="Normal12a"/>
    <w:basedOn w:val="Normal"/>
    <w:rsid w:val="009C4C2D"/>
    <w:pPr>
      <w:spacing w:after="240"/>
    </w:pPr>
  </w:style>
  <w:style w:type="paragraph" w:customStyle="1" w:styleId="PageHeadingNotTOC">
    <w:name w:val="PageHeadingNotTOC"/>
    <w:basedOn w:val="Normal"/>
    <w:rsid w:val="009C4C2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9C4C2D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9C4C2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9C4C2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9C4C2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9C4C2D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9C4C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25CA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396511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396511"/>
    <w:pPr>
      <w:spacing w:after="240"/>
      <w:jc w:val="center"/>
    </w:pPr>
  </w:style>
  <w:style w:type="paragraph" w:customStyle="1" w:styleId="AmDateTab">
    <w:name w:val="AmDateTab"/>
    <w:basedOn w:val="Normal"/>
    <w:rsid w:val="00396511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396511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396511"/>
  </w:style>
  <w:style w:type="paragraph" w:styleId="TOC4">
    <w:name w:val="toc 4"/>
    <w:basedOn w:val="Normal"/>
    <w:next w:val="Normal"/>
    <w:uiPriority w:val="39"/>
    <w:unhideWhenUsed/>
    <w:rsid w:val="0039651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396511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396511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396511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396511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396511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396511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396511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396511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396511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396511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396511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396511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396511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39651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396511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396511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396511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396511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39651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39651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39651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39651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396511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39651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396511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39651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39651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39651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396511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396511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396511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396511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39651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39651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39651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39651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396511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396511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396511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396511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396511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396511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396511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396511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396511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396511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396511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396511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396511"/>
    <w:pPr>
      <w:widowControl/>
      <w:numPr>
        <w:numId w:val="45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396511"/>
    <w:pPr>
      <w:widowControl/>
      <w:numPr>
        <w:numId w:val="46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396511"/>
    <w:pPr>
      <w:widowControl/>
      <w:numPr>
        <w:numId w:val="47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396511"/>
    <w:pPr>
      <w:widowControl/>
      <w:numPr>
        <w:numId w:val="48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396511"/>
    <w:pPr>
      <w:widowControl/>
      <w:numPr>
        <w:numId w:val="49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396511"/>
    <w:pPr>
      <w:widowControl/>
      <w:numPr>
        <w:numId w:val="50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396511"/>
    <w:pPr>
      <w:widowControl/>
      <w:numPr>
        <w:numId w:val="51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396511"/>
    <w:pPr>
      <w:widowControl/>
      <w:numPr>
        <w:numId w:val="52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396511"/>
    <w:pPr>
      <w:widowControl/>
      <w:numPr>
        <w:numId w:val="53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396511"/>
    <w:pPr>
      <w:widowControl/>
      <w:numPr>
        <w:numId w:val="54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396511"/>
    <w:pPr>
      <w:widowControl/>
      <w:numPr>
        <w:ilvl w:val="1"/>
        <w:numId w:val="54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396511"/>
    <w:pPr>
      <w:widowControl/>
      <w:numPr>
        <w:ilvl w:val="2"/>
        <w:numId w:val="54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396511"/>
    <w:pPr>
      <w:widowControl/>
      <w:numPr>
        <w:ilvl w:val="3"/>
        <w:numId w:val="54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396511"/>
    <w:pPr>
      <w:widowControl/>
      <w:numPr>
        <w:ilvl w:val="4"/>
        <w:numId w:val="54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396511"/>
    <w:pPr>
      <w:widowControl/>
      <w:numPr>
        <w:ilvl w:val="5"/>
        <w:numId w:val="54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396511"/>
    <w:pPr>
      <w:widowControl/>
      <w:numPr>
        <w:ilvl w:val="6"/>
        <w:numId w:val="54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39651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39651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39651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39651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39651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39651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39651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39651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396511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39651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39651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39651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39651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39651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39651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396511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396511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396511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396511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396511"/>
    <w:pPr>
      <w:widowControl/>
      <w:numPr>
        <w:numId w:val="55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396511"/>
    <w:pPr>
      <w:widowControl/>
      <w:numPr>
        <w:ilvl w:val="2"/>
        <w:numId w:val="55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396511"/>
    <w:pPr>
      <w:widowControl/>
      <w:numPr>
        <w:ilvl w:val="4"/>
        <w:numId w:val="55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396511"/>
    <w:pPr>
      <w:widowControl/>
      <w:numPr>
        <w:ilvl w:val="6"/>
        <w:numId w:val="55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396511"/>
    <w:pPr>
      <w:widowControl/>
      <w:numPr>
        <w:ilvl w:val="1"/>
        <w:numId w:val="55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396511"/>
    <w:pPr>
      <w:widowControl/>
      <w:numPr>
        <w:ilvl w:val="3"/>
        <w:numId w:val="55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396511"/>
    <w:pPr>
      <w:widowControl/>
      <w:numPr>
        <w:ilvl w:val="5"/>
        <w:numId w:val="55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396511"/>
    <w:pPr>
      <w:widowControl/>
      <w:numPr>
        <w:ilvl w:val="7"/>
        <w:numId w:val="55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396511"/>
    <w:pPr>
      <w:widowControl/>
      <w:numPr>
        <w:ilvl w:val="8"/>
        <w:numId w:val="55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396511"/>
    <w:pPr>
      <w:widowControl/>
      <w:numPr>
        <w:numId w:val="56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396511"/>
    <w:pPr>
      <w:widowControl/>
      <w:numPr>
        <w:numId w:val="57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396511"/>
    <w:pPr>
      <w:widowControl/>
      <w:numPr>
        <w:numId w:val="58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396511"/>
    <w:pPr>
      <w:widowControl/>
      <w:numPr>
        <w:numId w:val="59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396511"/>
    <w:pPr>
      <w:widowControl/>
      <w:numPr>
        <w:numId w:val="60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396511"/>
    <w:pPr>
      <w:widowControl/>
      <w:numPr>
        <w:numId w:val="61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396511"/>
    <w:pPr>
      <w:widowControl/>
      <w:numPr>
        <w:numId w:val="62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396511"/>
    <w:pPr>
      <w:widowControl/>
      <w:numPr>
        <w:numId w:val="63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396511"/>
    <w:pPr>
      <w:widowControl/>
      <w:numPr>
        <w:numId w:val="64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39651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39651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396511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396511"/>
    <w:pPr>
      <w:widowControl/>
      <w:numPr>
        <w:numId w:val="65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396511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396511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396511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396511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396511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39651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96511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396511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396511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96511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396511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396511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39651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39651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396511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396511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396511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396511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396511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39651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396511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39651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396511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39651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396511"/>
    <w:pPr>
      <w:spacing w:before="240"/>
    </w:pPr>
  </w:style>
  <w:style w:type="paragraph" w:customStyle="1" w:styleId="Accordtitre">
    <w:name w:val="Accord titre"/>
    <w:basedOn w:val="Normal"/>
    <w:rsid w:val="00396511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396511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396511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396511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396511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396511"/>
    <w:pPr>
      <w:spacing w:after="240"/>
    </w:pPr>
  </w:style>
  <w:style w:type="paragraph" w:customStyle="1" w:styleId="Annexetitre">
    <w:name w:val="Annexe titre"/>
    <w:basedOn w:val="Normal"/>
    <w:next w:val="Normal"/>
    <w:rsid w:val="0039651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396511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396511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96511"/>
    <w:rPr>
      <w:rFonts w:eastAsia="Calibri"/>
      <w:lang w:val="el-GR" w:eastAsia="en-US"/>
    </w:rPr>
  </w:style>
  <w:style w:type="character" w:styleId="EndnoteReference">
    <w:name w:val="endnote reference"/>
    <w:basedOn w:val="DefaultParagraphFont"/>
    <w:uiPriority w:val="99"/>
    <w:unhideWhenUsed/>
    <w:rsid w:val="00396511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39651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39651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39651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39651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396511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39651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39651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396511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396511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396511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396511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396511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396511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396511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396511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39651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39651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39651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39651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39651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39651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39651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39651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396511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39651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39651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BEntRefer">
    <w:name w:val="TBEntRefer"/>
    <w:basedOn w:val="TechnicalBlockBase"/>
    <w:link w:val="EntReferChar"/>
    <w:rsid w:val="00396511"/>
    <w:pPr>
      <w:widowControl/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EntLogo">
    <w:name w:val="TBEntLogo"/>
    <w:basedOn w:val="TechnicalBlockBase"/>
    <w:rsid w:val="00396511"/>
    <w:pPr>
      <w:widowControl/>
      <w:tabs>
        <w:tab w:val="right" w:pos="9639"/>
      </w:tabs>
      <w:spacing w:before="0" w:after="0" w:line="360" w:lineRule="auto"/>
      <w:ind w:left="0" w:right="0"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Genredudocument">
    <w:name w:val="TBGenredudocument"/>
    <w:basedOn w:val="TechnicalBlockBase"/>
    <w:rsid w:val="00396511"/>
    <w:pPr>
      <w:widowControl/>
      <w:spacing w:before="0" w:after="40" w:line="240" w:lineRule="auto"/>
      <w:ind w:left="0" w:right="0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EntEU">
    <w:name w:val="TBEntEU"/>
    <w:basedOn w:val="TechnicalBlockBase"/>
    <w:link w:val="EntEUChar"/>
    <w:rsid w:val="00396511"/>
    <w:pPr>
      <w:widowControl/>
      <w:spacing w:before="240" w:after="24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36"/>
      <w:u w:val="none"/>
    </w:rPr>
  </w:style>
  <w:style w:type="paragraph" w:customStyle="1" w:styleId="TBSousEmbargo">
    <w:name w:val="TBSousEmbargo"/>
    <w:basedOn w:val="TechnicalBlockBase"/>
    <w:qFormat/>
    <w:rsid w:val="00396511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  <w:lang w:eastAsia="fr-BE"/>
    </w:rPr>
  </w:style>
  <w:style w:type="character" w:customStyle="1" w:styleId="EntEUChar">
    <w:name w:val="EntEU Char"/>
    <w:basedOn w:val="DefaultParagraphFont"/>
    <w:link w:val="TBEntEU"/>
    <w:rsid w:val="00396511"/>
    <w:rPr>
      <w:rFonts w:ascii="Arial" w:hAnsi="Arial" w:cs="Arial"/>
      <w:b/>
      <w:sz w:val="36"/>
      <w:szCs w:val="36"/>
      <w:u w:color="606060"/>
      <w:lang w:val="el-GR" w:eastAsia="en-US"/>
    </w:rPr>
  </w:style>
  <w:style w:type="paragraph" w:customStyle="1" w:styleId="TBSubjectTable">
    <w:name w:val="TBSubjectTable"/>
    <w:basedOn w:val="TechnicalBlockBase"/>
    <w:rsid w:val="00396511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396511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396511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396511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szCs w:val="36"/>
      <w:u w:val="words" w:color="606060"/>
      <w:lang w:val="el-GR" w:eastAsia="en-US"/>
    </w:rPr>
  </w:style>
  <w:style w:type="character" w:customStyle="1" w:styleId="TechnicalBlockBaseChar">
    <w:name w:val="TechnicalBlockBase Char"/>
    <w:basedOn w:val="EntEUChar"/>
    <w:link w:val="TechnicalBlockBase"/>
    <w:rsid w:val="00396511"/>
    <w:rPr>
      <w:rFonts w:ascii="Arial New Roman" w:hAnsi="Arial New Roman" w:cs="Arial"/>
      <w:b/>
      <w:i/>
      <w:dstrike/>
      <w:color w:val="606060"/>
      <w:w w:val="98"/>
      <w:sz w:val="10"/>
      <w:szCs w:val="36"/>
      <w:u w:val="words" w:color="606060"/>
      <w:lang w:val="el-GR" w:eastAsia="en-US"/>
    </w:rPr>
  </w:style>
  <w:style w:type="paragraph" w:customStyle="1" w:styleId="HeaderCouncilLarge">
    <w:name w:val="Header Council Large"/>
    <w:basedOn w:val="Normal"/>
    <w:link w:val="HeaderCouncilLargeChar"/>
    <w:rsid w:val="00396511"/>
    <w:pPr>
      <w:widowControl/>
      <w:spacing w:after="440" w:line="360" w:lineRule="auto"/>
    </w:pPr>
    <w:rPr>
      <w:rFonts w:ascii="Arial" w:hAnsi="Arial" w:cs="Arial"/>
      <w:b/>
      <w:sz w:val="2"/>
      <w:szCs w:val="24"/>
      <w:u w:color="606060"/>
      <w:lang w:eastAsia="en-US"/>
    </w:rPr>
  </w:style>
  <w:style w:type="character" w:customStyle="1" w:styleId="HeaderCouncilLargeChar">
    <w:name w:val="Header Council Large Char"/>
    <w:basedOn w:val="EntEUChar"/>
    <w:link w:val="HeaderCouncilLarge"/>
    <w:rsid w:val="00396511"/>
    <w:rPr>
      <w:rFonts w:ascii="Arial" w:hAnsi="Arial" w:cs="Arial"/>
      <w:b/>
      <w:sz w:val="2"/>
      <w:szCs w:val="24"/>
      <w:u w:color="606060"/>
      <w:lang w:val="el-GR" w:eastAsia="en-US"/>
    </w:rPr>
  </w:style>
  <w:style w:type="paragraph" w:customStyle="1" w:styleId="FooterText">
    <w:name w:val="Footer Text"/>
    <w:basedOn w:val="Normal"/>
    <w:rsid w:val="00396511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396511"/>
    <w:rPr>
      <w:color w:val="808080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396511"/>
    <w:pPr>
      <w:keepNext/>
      <w:keepLines/>
      <w:widowControl/>
      <w:spacing w:before="120" w:after="120" w:line="259" w:lineRule="auto"/>
      <w:outlineLvl w:val="7"/>
    </w:pPr>
    <w:rPr>
      <w:rFonts w:ascii="Calibri" w:hAnsi="Calibri"/>
      <w:i/>
      <w:iCs/>
      <w:color w:val="272727"/>
      <w:kern w:val="2"/>
      <w:sz w:val="22"/>
      <w:szCs w:val="22"/>
      <w:lang w:eastAsia="en-US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396511"/>
    <w:pPr>
      <w:keepNext/>
      <w:keepLines/>
      <w:widowControl/>
      <w:spacing w:before="120" w:after="120" w:line="259" w:lineRule="auto"/>
      <w:outlineLvl w:val="8"/>
    </w:pPr>
    <w:rPr>
      <w:rFonts w:ascii="Calibri" w:hAnsi="Calibri"/>
      <w:color w:val="272727"/>
      <w:kern w:val="2"/>
      <w:sz w:val="22"/>
      <w:szCs w:val="22"/>
      <w:lang w:eastAsia="en-US"/>
    </w:rPr>
  </w:style>
  <w:style w:type="paragraph" w:customStyle="1" w:styleId="NormalJustified">
    <w:name w:val="Normal Justified"/>
    <w:basedOn w:val="Normal"/>
    <w:rsid w:val="00396511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39651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39651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396511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396511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396511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396511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396511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396511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396511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396511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396511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396511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396511"/>
    <w:pPr>
      <w:widowControl/>
      <w:numPr>
        <w:ilvl w:val="1"/>
        <w:numId w:val="77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396511"/>
    <w:pPr>
      <w:widowControl/>
      <w:numPr>
        <w:ilvl w:val="3"/>
        <w:numId w:val="77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396511"/>
    <w:pPr>
      <w:widowControl/>
      <w:numPr>
        <w:ilvl w:val="5"/>
        <w:numId w:val="77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396511"/>
    <w:pPr>
      <w:widowControl/>
      <w:numPr>
        <w:ilvl w:val="7"/>
        <w:numId w:val="77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396511"/>
    <w:pPr>
      <w:widowControl/>
      <w:numPr>
        <w:ilvl w:val="8"/>
        <w:numId w:val="77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396511"/>
    <w:pPr>
      <w:widowControl/>
      <w:numPr>
        <w:numId w:val="77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396511"/>
    <w:pPr>
      <w:widowControl/>
      <w:numPr>
        <w:ilvl w:val="2"/>
        <w:numId w:val="77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396511"/>
    <w:pPr>
      <w:widowControl/>
      <w:numPr>
        <w:ilvl w:val="4"/>
        <w:numId w:val="77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396511"/>
    <w:pPr>
      <w:widowControl/>
      <w:numPr>
        <w:ilvl w:val="6"/>
        <w:numId w:val="77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396511"/>
    <w:pPr>
      <w:widowControl/>
      <w:numPr>
        <w:numId w:val="78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396511"/>
    <w:pPr>
      <w:widowControl/>
      <w:numPr>
        <w:ilvl w:val="1"/>
        <w:numId w:val="78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396511"/>
    <w:pPr>
      <w:widowControl/>
      <w:numPr>
        <w:ilvl w:val="2"/>
        <w:numId w:val="78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396511"/>
    <w:pPr>
      <w:widowControl/>
      <w:numPr>
        <w:ilvl w:val="3"/>
        <w:numId w:val="78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396511"/>
    <w:pPr>
      <w:widowControl/>
      <w:numPr>
        <w:ilvl w:val="4"/>
        <w:numId w:val="78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396511"/>
    <w:pPr>
      <w:widowControl/>
      <w:numPr>
        <w:numId w:val="76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396511"/>
    <w:pPr>
      <w:widowControl/>
      <w:numPr>
        <w:numId w:val="66"/>
      </w:numPr>
      <w:tabs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396511"/>
    <w:pPr>
      <w:widowControl/>
      <w:numPr>
        <w:numId w:val="67"/>
      </w:numPr>
      <w:tabs>
        <w:tab w:val="clear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396511"/>
    <w:pPr>
      <w:widowControl/>
      <w:numPr>
        <w:numId w:val="68"/>
      </w:numPr>
      <w:tabs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396511"/>
    <w:pPr>
      <w:widowControl/>
      <w:numPr>
        <w:numId w:val="69"/>
      </w:numPr>
      <w:tabs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396511"/>
    <w:pPr>
      <w:widowControl/>
      <w:numPr>
        <w:numId w:val="70"/>
      </w:numPr>
      <w:tabs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396511"/>
    <w:pPr>
      <w:numPr>
        <w:numId w:val="71"/>
      </w:numPr>
      <w:tabs>
        <w:tab w:val="clear" w:pos="567"/>
        <w:tab w:val="num" w:pos="4819"/>
      </w:tabs>
      <w:ind w:left="0" w:firstLine="0"/>
    </w:pPr>
  </w:style>
  <w:style w:type="paragraph" w:customStyle="1" w:styleId="DashEqual1">
    <w:name w:val="Dash Equal 1"/>
    <w:basedOn w:val="Dash1"/>
    <w:rsid w:val="00396511"/>
    <w:pPr>
      <w:numPr>
        <w:numId w:val="72"/>
      </w:numPr>
      <w:tabs>
        <w:tab w:val="clear" w:pos="1134"/>
        <w:tab w:val="num" w:pos="5386"/>
      </w:tabs>
      <w:ind w:left="0" w:firstLine="0"/>
    </w:pPr>
  </w:style>
  <w:style w:type="paragraph" w:customStyle="1" w:styleId="DashEqual2">
    <w:name w:val="Dash Equal 2"/>
    <w:basedOn w:val="Dash2"/>
    <w:rsid w:val="00396511"/>
    <w:pPr>
      <w:numPr>
        <w:numId w:val="73"/>
      </w:numPr>
      <w:tabs>
        <w:tab w:val="clear" w:pos="1701"/>
        <w:tab w:val="num" w:pos="850"/>
      </w:tabs>
      <w:ind w:left="0" w:firstLine="0"/>
    </w:pPr>
  </w:style>
  <w:style w:type="paragraph" w:customStyle="1" w:styleId="DashEqual3">
    <w:name w:val="Dash Equal 3"/>
    <w:basedOn w:val="Dash3"/>
    <w:rsid w:val="00396511"/>
    <w:pPr>
      <w:numPr>
        <w:numId w:val="74"/>
      </w:numPr>
      <w:tabs>
        <w:tab w:val="clear" w:pos="2268"/>
        <w:tab w:val="num" w:pos="850"/>
      </w:tabs>
      <w:ind w:left="0" w:firstLine="0"/>
    </w:pPr>
  </w:style>
  <w:style w:type="paragraph" w:customStyle="1" w:styleId="DashEqual4">
    <w:name w:val="Dash Equal 4"/>
    <w:basedOn w:val="Dash4"/>
    <w:rsid w:val="00396511"/>
    <w:pPr>
      <w:numPr>
        <w:numId w:val="75"/>
      </w:numPr>
      <w:tabs>
        <w:tab w:val="clear" w:pos="2835"/>
        <w:tab w:val="num" w:pos="360"/>
      </w:tabs>
      <w:ind w:left="0" w:firstLine="0"/>
    </w:pPr>
  </w:style>
  <w:style w:type="paragraph" w:customStyle="1" w:styleId="HeadingLeft">
    <w:name w:val="Heading Left"/>
    <w:basedOn w:val="Normal"/>
    <w:next w:val="Normal"/>
    <w:rsid w:val="00396511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396511"/>
    <w:pPr>
      <w:numPr>
        <w:numId w:val="81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396511"/>
    <w:pPr>
      <w:numPr>
        <w:numId w:val="80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396511"/>
    <w:pPr>
      <w:numPr>
        <w:numId w:val="79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396511"/>
    <w:pPr>
      <w:jc w:val="center"/>
    </w:pPr>
  </w:style>
  <w:style w:type="paragraph" w:customStyle="1" w:styleId="Jardin">
    <w:name w:val="Jardin"/>
    <w:basedOn w:val="Normal"/>
    <w:rsid w:val="00396511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396511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396511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396511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396511"/>
    <w:rPr>
      <w:b/>
    </w:rPr>
  </w:style>
  <w:style w:type="paragraph" w:customStyle="1" w:styleId="Annex">
    <w:name w:val="Annex"/>
    <w:basedOn w:val="Normal"/>
    <w:next w:val="Normal"/>
    <w:rsid w:val="00396511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396511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396511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396511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396511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TBEntInstit">
    <w:name w:val="TBEntInstit"/>
    <w:basedOn w:val="TechnicalBlockBase"/>
    <w:link w:val="EntInstitChar"/>
    <w:rsid w:val="00396511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szCs w:val="20"/>
      <w:u w:val="none"/>
      <w:lang w:eastAsia="fr-BE"/>
    </w:rPr>
  </w:style>
  <w:style w:type="paragraph" w:customStyle="1" w:styleId="TBEntReferNew">
    <w:name w:val="TBEntReferNew"/>
    <w:basedOn w:val="TechnicalBlockBase"/>
    <w:rsid w:val="00396511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</w:rPr>
  </w:style>
  <w:style w:type="paragraph" w:customStyle="1" w:styleId="TBInstitution">
    <w:name w:val="TBInstitution"/>
    <w:basedOn w:val="TechnicalBlockBase"/>
    <w:rsid w:val="00396511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  <w:lang w:eastAsia="fr-BE"/>
    </w:rPr>
  </w:style>
  <w:style w:type="paragraph" w:customStyle="1" w:styleId="TBNormalTechnicalBlock">
    <w:name w:val="TBNormalTechnicalBlock"/>
    <w:basedOn w:val="TechnicalBlockBase"/>
    <w:link w:val="TBNormalTechnicalBlockChar"/>
    <w:rsid w:val="00396511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  <w:lang w:eastAsia="fr-BE"/>
    </w:rPr>
  </w:style>
  <w:style w:type="paragraph" w:customStyle="1" w:styleId="TBInstitutionSubwordmark">
    <w:name w:val="TBInstitutionSubwordmark"/>
    <w:basedOn w:val="TechnicalBlockBase"/>
    <w:rsid w:val="00396511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szCs w:val="20"/>
      <w:u w:val="none"/>
      <w:lang w:eastAsia="fr-BE"/>
    </w:rPr>
  </w:style>
  <w:style w:type="paragraph" w:styleId="ListBullet2">
    <w:name w:val="List Bullet 2"/>
    <w:basedOn w:val="Normal"/>
    <w:uiPriority w:val="99"/>
    <w:unhideWhenUsed/>
    <w:rsid w:val="00396511"/>
    <w:pPr>
      <w:spacing w:line="216" w:lineRule="auto"/>
      <w:contextualSpacing/>
    </w:pPr>
    <w:rPr>
      <w:rFonts w:ascii="Arial" w:hAnsi="Arial" w:cs="Arial"/>
      <w:sz w:val="23"/>
      <w:lang w:eastAsia="fr-BE"/>
    </w:rPr>
  </w:style>
  <w:style w:type="character" w:customStyle="1" w:styleId="EntInstitChar">
    <w:name w:val="EntInstit Char"/>
    <w:basedOn w:val="DefaultParagraphFont"/>
    <w:link w:val="TBEntInstit"/>
    <w:rsid w:val="00396511"/>
    <w:rPr>
      <w:rFonts w:ascii="Arial" w:hAnsi="Arial" w:cs="Arial"/>
      <w:b/>
      <w:sz w:val="23"/>
      <w:u w:color="606060"/>
      <w:lang w:val="el-GR"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396511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el-GR" w:eastAsia="fr-BE"/>
    </w:rPr>
  </w:style>
  <w:style w:type="paragraph" w:customStyle="1" w:styleId="Title1">
    <w:name w:val="Title1"/>
    <w:basedOn w:val="Normal"/>
    <w:next w:val="Normal"/>
    <w:uiPriority w:val="10"/>
    <w:qFormat/>
    <w:rsid w:val="00396511"/>
    <w:pPr>
      <w:widowControl/>
      <w:spacing w:before="120" w:after="80" w:line="360" w:lineRule="auto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396511"/>
    <w:rPr>
      <w:rFonts w:ascii="Cambria" w:hAnsi="Cambria"/>
      <w:spacing w:val="-10"/>
      <w:kern w:val="28"/>
      <w:sz w:val="56"/>
      <w:szCs w:val="56"/>
      <w:lang w:val="el-GR"/>
    </w:rPr>
  </w:style>
  <w:style w:type="paragraph" w:customStyle="1" w:styleId="Subtitle1">
    <w:name w:val="Subtitle1"/>
    <w:basedOn w:val="Normal"/>
    <w:next w:val="Normal"/>
    <w:uiPriority w:val="11"/>
    <w:qFormat/>
    <w:rsid w:val="00396511"/>
    <w:pPr>
      <w:widowControl/>
      <w:numPr>
        <w:ilvl w:val="1"/>
      </w:numPr>
      <w:spacing w:before="120" w:after="160" w:line="259" w:lineRule="auto"/>
    </w:pPr>
    <w:rPr>
      <w:rFonts w:ascii="Calibri" w:hAnsi="Calibri"/>
      <w:color w:val="595959"/>
      <w:spacing w:val="15"/>
      <w:kern w:val="2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96511"/>
    <w:rPr>
      <w:color w:val="595959"/>
      <w:spacing w:val="15"/>
      <w:kern w:val="2"/>
      <w:sz w:val="28"/>
      <w:szCs w:val="28"/>
      <w:lang w:val="el-GR"/>
    </w:rPr>
  </w:style>
  <w:style w:type="paragraph" w:customStyle="1" w:styleId="Quote1">
    <w:name w:val="Quote1"/>
    <w:basedOn w:val="Normal"/>
    <w:next w:val="Normal"/>
    <w:uiPriority w:val="29"/>
    <w:qFormat/>
    <w:rsid w:val="00396511"/>
    <w:pPr>
      <w:widowControl/>
      <w:spacing w:before="160" w:after="160" w:line="259" w:lineRule="auto"/>
      <w:jc w:val="center"/>
    </w:pPr>
    <w:rPr>
      <w:rFonts w:ascii="Calibri" w:eastAsia="Calibri" w:hAnsi="Calibri" w:cs="Arial"/>
      <w:i/>
      <w:iCs/>
      <w:color w:val="404040"/>
      <w:kern w:val="2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96511"/>
    <w:rPr>
      <w:i/>
      <w:iCs/>
      <w:color w:val="404040"/>
      <w:kern w:val="2"/>
      <w:lang w:val="el-GR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396511"/>
    <w:pPr>
      <w:widowControl/>
      <w:spacing w:before="120" w:after="160" w:line="259" w:lineRule="auto"/>
      <w:ind w:left="720"/>
      <w:contextualSpacing/>
    </w:pPr>
    <w:rPr>
      <w:rFonts w:ascii="Calibri" w:eastAsia="Calibri" w:hAnsi="Calibri" w:cs="Arial"/>
      <w:kern w:val="2"/>
      <w:sz w:val="22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396511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396511"/>
    <w:pPr>
      <w:widowControl/>
      <w:pBdr>
        <w:top w:val="single" w:sz="4" w:space="10" w:color="365F91"/>
        <w:bottom w:val="single" w:sz="4" w:space="10" w:color="365F91"/>
      </w:pBdr>
      <w:spacing w:before="360" w:after="360" w:line="259" w:lineRule="auto"/>
      <w:ind w:left="864" w:right="864"/>
      <w:jc w:val="center"/>
    </w:pPr>
    <w:rPr>
      <w:rFonts w:ascii="Calibri" w:eastAsia="Calibri" w:hAnsi="Calibri" w:cs="Arial"/>
      <w:i/>
      <w:iCs/>
      <w:color w:val="365F91"/>
      <w:kern w:val="2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511"/>
    <w:rPr>
      <w:i/>
      <w:iCs/>
      <w:color w:val="365F91"/>
      <w:kern w:val="2"/>
      <w:lang w:val="el-GR"/>
    </w:rPr>
  </w:style>
  <w:style w:type="character" w:customStyle="1" w:styleId="IntenseReference1">
    <w:name w:val="Intense Reference1"/>
    <w:basedOn w:val="DefaultParagraphFont"/>
    <w:uiPriority w:val="32"/>
    <w:qFormat/>
    <w:rsid w:val="00396511"/>
    <w:rPr>
      <w:b/>
      <w:bCs/>
      <w:smallCaps/>
      <w:color w:val="365F91"/>
      <w:spacing w:val="5"/>
    </w:rPr>
  </w:style>
  <w:style w:type="character" w:customStyle="1" w:styleId="EntReferChar">
    <w:name w:val="EntRefer Char"/>
    <w:basedOn w:val="DefaultParagraphFont"/>
    <w:link w:val="TBEntRefer"/>
    <w:rsid w:val="00396511"/>
    <w:rPr>
      <w:rFonts w:ascii="Arial" w:hAnsi="Arial" w:cs="Arial"/>
      <w:b/>
      <w:sz w:val="23"/>
      <w:szCs w:val="23"/>
      <w:u w:color="606060"/>
      <w:lang w:val="el-GR" w:eastAsia="en-US"/>
    </w:rPr>
  </w:style>
  <w:style w:type="paragraph" w:customStyle="1" w:styleId="TBDistrbMarkers">
    <w:name w:val="TBDistrbMarkers"/>
    <w:basedOn w:val="TBEntRefer"/>
    <w:qFormat/>
    <w:rsid w:val="00396511"/>
    <w:pPr>
      <w:widowControl w:val="0"/>
      <w:tabs>
        <w:tab w:val="left" w:pos="2262"/>
      </w:tabs>
    </w:pPr>
    <w:rPr>
      <w:i/>
      <w:iCs/>
      <w:lang w:eastAsia="fr-BE"/>
    </w:rPr>
  </w:style>
  <w:style w:type="paragraph" w:customStyle="1" w:styleId="TBEntACP">
    <w:name w:val="TBEntACP"/>
    <w:basedOn w:val="TechnicalBlockBase"/>
    <w:rsid w:val="00396511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  <w:lang w:eastAsia="fr-BE"/>
    </w:rPr>
  </w:style>
  <w:style w:type="paragraph" w:customStyle="1" w:styleId="TBEntInstitACP">
    <w:name w:val="TBEntInstitACP"/>
    <w:basedOn w:val="TechnicalBlockBase"/>
    <w:rsid w:val="00396511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  <w:lang w:eastAsia="fr-BE"/>
    </w:rPr>
  </w:style>
  <w:style w:type="paragraph" w:customStyle="1" w:styleId="TBDocumentGroup">
    <w:name w:val="TBDocumentGroup"/>
    <w:basedOn w:val="TechnicalBlockBase"/>
    <w:rsid w:val="00396511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szCs w:val="20"/>
      <w:u w:val="single"/>
      <w:lang w:eastAsia="fr-BE"/>
    </w:rPr>
  </w:style>
  <w:style w:type="paragraph" w:customStyle="1" w:styleId="TBSubjectBold">
    <w:name w:val="TBSubjectBold"/>
    <w:basedOn w:val="TechnicalBlockBase"/>
    <w:rsid w:val="00396511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0"/>
      <w:u w:val="none"/>
      <w:lang w:eastAsia="fr-BE"/>
    </w:rPr>
  </w:style>
  <w:style w:type="character" w:customStyle="1" w:styleId="TechnicalBlockChar">
    <w:name w:val="Technical Block Char"/>
    <w:basedOn w:val="DefaultParagraphFont"/>
    <w:rsid w:val="00396511"/>
    <w:rPr>
      <w:rFonts w:ascii="Times New Roman" w:hAnsi="Times New Roman" w:cs="Times New Roman"/>
      <w:sz w:val="24"/>
      <w:lang w:val="el-GR"/>
    </w:rPr>
  </w:style>
  <w:style w:type="paragraph" w:customStyle="1" w:styleId="title-bold">
    <w:name w:val="title-bold"/>
    <w:basedOn w:val="Normal"/>
    <w:rsid w:val="00396511"/>
    <w:pPr>
      <w:widowControl/>
      <w:spacing w:before="100" w:beforeAutospacing="1" w:after="100" w:afterAutospacing="1"/>
    </w:pPr>
    <w:rPr>
      <w:szCs w:val="24"/>
      <w:lang w:eastAsia="cs-CZ"/>
    </w:rPr>
  </w:style>
  <w:style w:type="paragraph" w:styleId="NormalWeb">
    <w:name w:val="Normal (Web)"/>
    <w:basedOn w:val="Normal"/>
    <w:uiPriority w:val="99"/>
    <w:unhideWhenUsed/>
    <w:rsid w:val="00396511"/>
    <w:pPr>
      <w:widowControl/>
      <w:spacing w:before="100" w:beforeAutospacing="1" w:after="100" w:afterAutospacing="1"/>
    </w:pPr>
    <w:rPr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396511"/>
    <w:rPr>
      <w:i/>
      <w:iCs/>
    </w:rPr>
  </w:style>
  <w:style w:type="paragraph" w:styleId="NoSpacing">
    <w:name w:val="No Spacing"/>
    <w:uiPriority w:val="1"/>
    <w:qFormat/>
    <w:rsid w:val="00396511"/>
    <w:rPr>
      <w:rFonts w:eastAsia="Calibri"/>
      <w:sz w:val="24"/>
      <w:szCs w:val="22"/>
      <w:lang w:val="el-GR" w:eastAsia="en-US"/>
    </w:rPr>
  </w:style>
  <w:style w:type="paragraph" w:customStyle="1" w:styleId="Manual">
    <w:name w:val="Manual"/>
    <w:basedOn w:val="Normal"/>
    <w:rsid w:val="00396511"/>
    <w:pPr>
      <w:widowControl/>
      <w:spacing w:before="120" w:after="120" w:line="360" w:lineRule="auto"/>
    </w:pPr>
    <w:rPr>
      <w:rFonts w:eastAsia="Calibri"/>
      <w:noProof/>
      <w:szCs w:val="22"/>
      <w:lang w:eastAsia="en-US"/>
    </w:rPr>
  </w:style>
  <w:style w:type="paragraph" w:customStyle="1" w:styleId="titreobjetcp">
    <w:name w:val="titreobjet_cp"/>
    <w:basedOn w:val="Normal"/>
    <w:rsid w:val="00396511"/>
    <w:pPr>
      <w:widowControl/>
      <w:spacing w:before="100" w:beforeAutospacing="1" w:after="100" w:afterAutospacing="1"/>
    </w:pPr>
    <w:rPr>
      <w:szCs w:val="24"/>
    </w:rPr>
  </w:style>
  <w:style w:type="paragraph" w:customStyle="1" w:styleId="CommentQuotedText">
    <w:name w:val="CommentQuotedText"/>
    <w:rsid w:val="00396511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el-GR" w:eastAsia="en-US"/>
    </w:rPr>
  </w:style>
  <w:style w:type="paragraph" w:customStyle="1" w:styleId="CommentFwdQuotedText">
    <w:name w:val="CommentFwdQuotedText"/>
    <w:basedOn w:val="Normal"/>
    <w:rsid w:val="00396511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396511"/>
    <w:pPr>
      <w:pBdr>
        <w:top w:val="none" w:sz="0" w:space="0" w:color="auto"/>
        <w:left w:val="single" w:sz="4" w:space="20" w:color="auto"/>
      </w:pBdr>
    </w:pPr>
  </w:style>
  <w:style w:type="character" w:customStyle="1" w:styleId="Hyperlink1">
    <w:name w:val="Hyperlink1"/>
    <w:basedOn w:val="DefaultParagraphFont"/>
    <w:uiPriority w:val="99"/>
    <w:unhideWhenUsed/>
    <w:rsid w:val="00396511"/>
    <w:rPr>
      <w:color w:val="0000FF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396511"/>
    <w:rPr>
      <w:color w:val="800080"/>
      <w:u w:val="single"/>
    </w:rPr>
  </w:style>
  <w:style w:type="character" w:customStyle="1" w:styleId="Heading8Char1">
    <w:name w:val="Heading 8 Char1"/>
    <w:basedOn w:val="DefaultParagraphFont"/>
    <w:uiPriority w:val="9"/>
    <w:semiHidden/>
    <w:rsid w:val="00396511"/>
    <w:rPr>
      <w:rFonts w:ascii="Calibri Light" w:eastAsia="Times New Roman" w:hAnsi="Calibri Light" w:cs="Times New Roman"/>
      <w:color w:val="272727"/>
      <w:sz w:val="21"/>
      <w:szCs w:val="21"/>
      <w:lang w:val="el-GR"/>
    </w:rPr>
  </w:style>
  <w:style w:type="character" w:customStyle="1" w:styleId="Heading9Char1">
    <w:name w:val="Heading 9 Char1"/>
    <w:basedOn w:val="DefaultParagraphFont"/>
    <w:uiPriority w:val="9"/>
    <w:semiHidden/>
    <w:rsid w:val="00396511"/>
    <w:rPr>
      <w:rFonts w:ascii="Calibri Light" w:eastAsia="Times New Roman" w:hAnsi="Calibri Light" w:cs="Times New Roman"/>
      <w:i/>
      <w:iCs/>
      <w:color w:val="272727"/>
      <w:sz w:val="21"/>
      <w:szCs w:val="21"/>
      <w:lang w:val="el-GR"/>
    </w:rPr>
  </w:style>
  <w:style w:type="paragraph" w:styleId="Title">
    <w:name w:val="Title"/>
    <w:basedOn w:val="Normal"/>
    <w:next w:val="Normal"/>
    <w:link w:val="TitleChar"/>
    <w:uiPriority w:val="10"/>
    <w:qFormat/>
    <w:rsid w:val="00396511"/>
    <w:pPr>
      <w:widowControl/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uiPriority w:val="10"/>
    <w:rsid w:val="00396511"/>
    <w:rPr>
      <w:rFonts w:asciiTheme="majorHAnsi" w:eastAsiaTheme="majorEastAsia" w:hAnsiTheme="majorHAnsi" w:cstheme="majorBidi"/>
      <w:spacing w:val="-10"/>
      <w:kern w:val="28"/>
      <w:sz w:val="56"/>
      <w:szCs w:val="56"/>
      <w:lang w:val="el-GR"/>
    </w:rPr>
  </w:style>
  <w:style w:type="paragraph" w:customStyle="1" w:styleId="Subtitle2">
    <w:name w:val="Subtitle2"/>
    <w:basedOn w:val="Normal"/>
    <w:next w:val="Normal"/>
    <w:uiPriority w:val="11"/>
    <w:qFormat/>
    <w:rsid w:val="00396511"/>
    <w:pPr>
      <w:widowControl/>
      <w:numPr>
        <w:ilvl w:val="1"/>
      </w:numPr>
      <w:spacing w:before="120" w:after="160" w:line="360" w:lineRule="auto"/>
    </w:pPr>
    <w:rPr>
      <w:rFonts w:ascii="Calibri" w:hAnsi="Calibri"/>
      <w:color w:val="595959"/>
      <w:spacing w:val="15"/>
      <w:kern w:val="2"/>
      <w:sz w:val="28"/>
      <w:szCs w:val="28"/>
      <w:lang w:eastAsia="en-US"/>
    </w:rPr>
  </w:style>
  <w:style w:type="character" w:customStyle="1" w:styleId="SubtitleChar1">
    <w:name w:val="Subtitle Char1"/>
    <w:basedOn w:val="DefaultParagraphFont"/>
    <w:uiPriority w:val="11"/>
    <w:rsid w:val="00396511"/>
    <w:rPr>
      <w:rFonts w:eastAsia="Times New Roman"/>
      <w:color w:val="5A5A5A"/>
      <w:spacing w:val="15"/>
      <w:lang w:val="el-GR"/>
    </w:rPr>
  </w:style>
  <w:style w:type="paragraph" w:customStyle="1" w:styleId="Quote2">
    <w:name w:val="Quote2"/>
    <w:basedOn w:val="Normal"/>
    <w:next w:val="Normal"/>
    <w:uiPriority w:val="29"/>
    <w:qFormat/>
    <w:rsid w:val="00396511"/>
    <w:pPr>
      <w:widowControl/>
      <w:spacing w:before="200" w:after="160" w:line="360" w:lineRule="auto"/>
      <w:ind w:left="864" w:right="864"/>
      <w:jc w:val="center"/>
    </w:pPr>
    <w:rPr>
      <w:rFonts w:ascii="Calibri" w:eastAsia="Calibri" w:hAnsi="Calibri" w:cs="Arial"/>
      <w:i/>
      <w:iCs/>
      <w:color w:val="404040"/>
      <w:kern w:val="2"/>
      <w:sz w:val="22"/>
      <w:szCs w:val="22"/>
      <w:lang w:eastAsia="en-US"/>
    </w:rPr>
  </w:style>
  <w:style w:type="character" w:customStyle="1" w:styleId="QuoteChar1">
    <w:name w:val="Quote Char1"/>
    <w:basedOn w:val="DefaultParagraphFont"/>
    <w:uiPriority w:val="29"/>
    <w:rsid w:val="00396511"/>
    <w:rPr>
      <w:rFonts w:ascii="Times New Roman" w:hAnsi="Times New Roman" w:cs="Times New Roman"/>
      <w:i/>
      <w:iCs/>
      <w:color w:val="404040"/>
      <w:sz w:val="24"/>
      <w:lang w:val="el-GR"/>
    </w:rPr>
  </w:style>
  <w:style w:type="paragraph" w:styleId="ListParagraph">
    <w:name w:val="List Paragraph"/>
    <w:basedOn w:val="Normal"/>
    <w:uiPriority w:val="34"/>
    <w:qFormat/>
    <w:rsid w:val="00396511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IntenseEmphasis2">
    <w:name w:val="Intense Emphasis2"/>
    <w:basedOn w:val="DefaultParagraphFont"/>
    <w:uiPriority w:val="21"/>
    <w:qFormat/>
    <w:rsid w:val="00396511"/>
    <w:rPr>
      <w:i/>
      <w:iCs/>
      <w:color w:val="4472C4"/>
    </w:rPr>
  </w:style>
  <w:style w:type="paragraph" w:customStyle="1" w:styleId="IntenseQuote2">
    <w:name w:val="Intense Quote2"/>
    <w:basedOn w:val="Normal"/>
    <w:next w:val="Normal"/>
    <w:uiPriority w:val="30"/>
    <w:qFormat/>
    <w:rsid w:val="00396511"/>
    <w:pPr>
      <w:widowControl/>
      <w:pBdr>
        <w:top w:val="single" w:sz="4" w:space="10" w:color="4472C4"/>
        <w:bottom w:val="single" w:sz="4" w:space="10" w:color="4472C4"/>
      </w:pBdr>
      <w:spacing w:before="360" w:after="360" w:line="360" w:lineRule="auto"/>
      <w:ind w:left="864" w:right="864"/>
      <w:jc w:val="center"/>
    </w:pPr>
    <w:rPr>
      <w:rFonts w:ascii="Calibri" w:eastAsia="Calibri" w:hAnsi="Calibri" w:cs="Arial"/>
      <w:i/>
      <w:iCs/>
      <w:color w:val="365F91"/>
      <w:kern w:val="2"/>
      <w:sz w:val="22"/>
      <w:szCs w:val="22"/>
      <w:lang w:eastAsia="en-US"/>
    </w:rPr>
  </w:style>
  <w:style w:type="character" w:customStyle="1" w:styleId="IntenseQuoteChar1">
    <w:name w:val="Intense Quote Char1"/>
    <w:basedOn w:val="DefaultParagraphFont"/>
    <w:uiPriority w:val="30"/>
    <w:rsid w:val="00396511"/>
    <w:rPr>
      <w:rFonts w:ascii="Times New Roman" w:hAnsi="Times New Roman" w:cs="Times New Roman"/>
      <w:i/>
      <w:iCs/>
      <w:color w:val="4472C4"/>
      <w:sz w:val="24"/>
      <w:lang w:val="el-GR"/>
    </w:rPr>
  </w:style>
  <w:style w:type="character" w:customStyle="1" w:styleId="IntenseReference2">
    <w:name w:val="Intense Reference2"/>
    <w:basedOn w:val="DefaultParagraphFont"/>
    <w:uiPriority w:val="32"/>
    <w:qFormat/>
    <w:rsid w:val="00396511"/>
    <w:rPr>
      <w:b/>
      <w:bCs/>
      <w:smallCaps/>
      <w:color w:val="4472C4"/>
      <w:spacing w:val="5"/>
    </w:rPr>
  </w:style>
  <w:style w:type="character" w:customStyle="1" w:styleId="Hyperlink2">
    <w:name w:val="Hyperlink2"/>
    <w:basedOn w:val="DefaultParagraphFont"/>
    <w:uiPriority w:val="99"/>
    <w:unhideWhenUsed/>
    <w:rsid w:val="00396511"/>
    <w:rPr>
      <w:color w:val="0563C1"/>
      <w:u w:val="single"/>
    </w:rPr>
  </w:style>
  <w:style w:type="character" w:customStyle="1" w:styleId="FollowedHyperlink2">
    <w:name w:val="FollowedHyperlink2"/>
    <w:basedOn w:val="DefaultParagraphFont"/>
    <w:uiPriority w:val="99"/>
    <w:semiHidden/>
    <w:unhideWhenUsed/>
    <w:rsid w:val="00396511"/>
    <w:rPr>
      <w:color w:val="954F72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6511"/>
    <w:pPr>
      <w:numPr>
        <w:ilvl w:val="1"/>
      </w:numPr>
      <w:spacing w:after="160"/>
    </w:pPr>
    <w:rPr>
      <w:color w:val="595959"/>
      <w:spacing w:val="15"/>
      <w:kern w:val="2"/>
      <w:sz w:val="28"/>
      <w:szCs w:val="28"/>
    </w:rPr>
  </w:style>
  <w:style w:type="character" w:customStyle="1" w:styleId="SubtitleChar2">
    <w:name w:val="Subtitle Char2"/>
    <w:basedOn w:val="DefaultParagraphFont"/>
    <w:rsid w:val="0039651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l-GR"/>
    </w:rPr>
  </w:style>
  <w:style w:type="paragraph" w:styleId="Quote">
    <w:name w:val="Quote"/>
    <w:basedOn w:val="Normal"/>
    <w:next w:val="Normal"/>
    <w:link w:val="QuoteChar"/>
    <w:uiPriority w:val="29"/>
    <w:qFormat/>
    <w:rsid w:val="00396511"/>
    <w:pPr>
      <w:spacing w:before="200" w:after="160"/>
      <w:ind w:left="864" w:right="864"/>
      <w:jc w:val="center"/>
    </w:pPr>
    <w:rPr>
      <w:i/>
      <w:iCs/>
      <w:color w:val="404040"/>
      <w:kern w:val="2"/>
      <w:sz w:val="20"/>
    </w:rPr>
  </w:style>
  <w:style w:type="character" w:customStyle="1" w:styleId="QuoteChar2">
    <w:name w:val="Quote Char2"/>
    <w:basedOn w:val="DefaultParagraphFont"/>
    <w:uiPriority w:val="29"/>
    <w:rsid w:val="00396511"/>
    <w:rPr>
      <w:i/>
      <w:iCs/>
      <w:color w:val="404040" w:themeColor="text1" w:themeTint="BF"/>
      <w:sz w:val="24"/>
      <w:lang w:val="el-GR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51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365F91"/>
      <w:kern w:val="2"/>
      <w:sz w:val="20"/>
    </w:rPr>
  </w:style>
  <w:style w:type="character" w:customStyle="1" w:styleId="IntenseQuoteChar2">
    <w:name w:val="Intense Quote Char2"/>
    <w:basedOn w:val="DefaultParagraphFont"/>
    <w:uiPriority w:val="30"/>
    <w:rsid w:val="00396511"/>
    <w:rPr>
      <w:i/>
      <w:iCs/>
      <w:color w:val="5B9BD5" w:themeColor="accent1"/>
      <w:sz w:val="24"/>
      <w:lang w:val="el-GR"/>
    </w:rPr>
  </w:style>
  <w:style w:type="character" w:styleId="IntenseEmphasis">
    <w:name w:val="Intense Emphasis"/>
    <w:basedOn w:val="DefaultParagraphFont"/>
    <w:uiPriority w:val="21"/>
    <w:qFormat/>
    <w:rsid w:val="00396511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396511"/>
    <w:rPr>
      <w:b/>
      <w:bCs/>
      <w:smallCaps/>
      <w:color w:val="5B9BD5" w:themeColor="accent1"/>
      <w:spacing w:val="5"/>
    </w:rPr>
  </w:style>
  <w:style w:type="character" w:styleId="FollowedHyperlink">
    <w:name w:val="FollowedHyperlink"/>
    <w:basedOn w:val="DefaultParagraphFont"/>
    <w:rsid w:val="0039651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4/1048/oj" TargetMode="External"/><Relationship Id="rId1" Type="http://schemas.openxmlformats.org/officeDocument/2006/relationships/hyperlink" Target="http://data.europa.eu/eli/C/2024/8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481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CHRISTOFOROU Nikolaos</cp:lastModifiedBy>
  <cp:revision>2</cp:revision>
  <cp:lastPrinted>2004-11-19T15:42:00Z</cp:lastPrinted>
  <dcterms:created xsi:type="dcterms:W3CDTF">2026-05-12T08:53:00Z</dcterms:created>
  <dcterms:modified xsi:type="dcterms:W3CDTF">2026-05-12T08:53:00Z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P10_TA(2026)0094_</vt:lpwstr>
  </property>
  <property fmtid="{D5CDD505-2E9C-101B-9397-08002B2CF9AE}" pid="4" name="&lt;Type&gt;">
    <vt:lpwstr>RR</vt:lpwstr>
  </property>
</Properties>
</file>