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2DA" w14:paraId="5C828A3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CE07B4" w14:textId="77777777" w:rsidR="00751A4A" w:rsidRPr="001302DA" w:rsidRDefault="00AC2DD9" w:rsidP="0010095E">
            <w:pPr>
              <w:pStyle w:val="EPName"/>
            </w:pPr>
            <w:r w:rsidRPr="001302DA">
              <w:t>Euroopa Parlament</w:t>
            </w:r>
          </w:p>
          <w:p w14:paraId="190A5F95" w14:textId="77777777" w:rsidR="00751A4A" w:rsidRPr="001302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2DA">
              <w:t>2024</w:t>
            </w:r>
            <w:r w:rsidR="00817416" w:rsidRPr="001302DA">
              <w:t>-202</w:t>
            </w:r>
            <w:r w:rsidRPr="001302DA">
              <w:t>9</w:t>
            </w:r>
          </w:p>
        </w:tc>
        <w:tc>
          <w:tcPr>
            <w:tcW w:w="2268" w:type="dxa"/>
            <w:shd w:val="clear" w:color="auto" w:fill="auto"/>
          </w:tcPr>
          <w:p w14:paraId="3E018CC7" w14:textId="77777777" w:rsidR="00751A4A" w:rsidRPr="001302DA" w:rsidRDefault="00187494" w:rsidP="0010095E">
            <w:pPr>
              <w:pStyle w:val="EPLogo"/>
            </w:pPr>
            <w:r w:rsidRPr="001302DA">
              <w:rPr>
                <w:noProof/>
                <w:lang w:eastAsia="ja-JP"/>
              </w:rPr>
              <w:drawing>
                <wp:inline distT="0" distB="0" distL="0" distR="0" wp14:anchorId="1E3D9389" wp14:editId="3B51B7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DCE68" w14:textId="77777777" w:rsidR="00D058B8" w:rsidRPr="001302DA" w:rsidRDefault="00D058B8" w:rsidP="004C5D52">
      <w:pPr>
        <w:pStyle w:val="LineTop"/>
      </w:pPr>
    </w:p>
    <w:p w14:paraId="21E41E83" w14:textId="77777777" w:rsidR="00680577" w:rsidRPr="001302DA" w:rsidRDefault="00AC2DD9" w:rsidP="00680577">
      <w:pPr>
        <w:pStyle w:val="EPBodyTA1"/>
      </w:pPr>
      <w:r w:rsidRPr="001302DA">
        <w:t>VASTUVÕETUD TEKSTID</w:t>
      </w:r>
    </w:p>
    <w:p w14:paraId="477339F1" w14:textId="77777777" w:rsidR="00D058B8" w:rsidRPr="001302DA" w:rsidRDefault="00D058B8" w:rsidP="00D058B8">
      <w:pPr>
        <w:pStyle w:val="LineBottom"/>
      </w:pPr>
    </w:p>
    <w:p w14:paraId="2A82AECA" w14:textId="3BC63493" w:rsidR="00AC2DD9" w:rsidRPr="001302DA" w:rsidRDefault="00AC2DD9" w:rsidP="00AC2DD9">
      <w:pPr>
        <w:pStyle w:val="ATHeading1"/>
      </w:pPr>
      <w:bookmarkStart w:id="0" w:name="TANumber"/>
      <w:r w:rsidRPr="001302DA">
        <w:t>P</w:t>
      </w:r>
      <w:r w:rsidR="00AE76FF">
        <w:t>10</w:t>
      </w:r>
      <w:r w:rsidRPr="001302DA">
        <w:t>_TA(2026)00</w:t>
      </w:r>
      <w:bookmarkEnd w:id="0"/>
      <w:r w:rsidR="009F2F6D" w:rsidRPr="001302DA">
        <w:t>94</w:t>
      </w:r>
    </w:p>
    <w:p w14:paraId="727845DC" w14:textId="77777777" w:rsidR="00AC2DD9" w:rsidRPr="001302DA" w:rsidRDefault="00AC2DD9" w:rsidP="00AC2DD9">
      <w:pPr>
        <w:pStyle w:val="ATHeading2"/>
      </w:pPr>
      <w:bookmarkStart w:id="1" w:name="title"/>
      <w:r w:rsidRPr="001302DA">
        <w:t>Korruptsioonivastane võitlus</w:t>
      </w:r>
      <w:bookmarkEnd w:id="1"/>
    </w:p>
    <w:p w14:paraId="0B1CF7E5" w14:textId="718C638C" w:rsidR="00AC2DD9" w:rsidRPr="001302DA" w:rsidRDefault="00AC2DD9" w:rsidP="00AC2DD9">
      <w:pPr>
        <w:rPr>
          <w:i/>
          <w:vanish/>
        </w:rPr>
      </w:pPr>
      <w:r w:rsidRPr="001302DA">
        <w:rPr>
          <w:i/>
        </w:rPr>
        <w:fldChar w:fldCharType="begin"/>
      </w:r>
      <w:r w:rsidRPr="001302DA">
        <w:rPr>
          <w:i/>
        </w:rPr>
        <w:instrText xml:space="preserve"> TC"(</w:instrText>
      </w:r>
      <w:bookmarkStart w:id="2" w:name="DocNumber"/>
      <w:r w:rsidRPr="001302DA">
        <w:rPr>
          <w:i/>
        </w:rPr>
        <w:instrText>A9-0048/2024</w:instrText>
      </w:r>
      <w:bookmarkEnd w:id="2"/>
      <w:r w:rsidRPr="001302DA">
        <w:rPr>
          <w:i/>
        </w:rPr>
        <w:instrText xml:space="preserve"> - Raportöör: </w:instrText>
      </w:r>
      <w:proofErr w:type="spellStart"/>
      <w:r w:rsidR="00F9104E" w:rsidRPr="001302DA">
        <w:rPr>
          <w:i/>
        </w:rPr>
        <w:instrText>Raquel</w:instrText>
      </w:r>
      <w:proofErr w:type="spellEnd"/>
      <w:r w:rsidR="00F9104E" w:rsidRPr="001302DA">
        <w:rPr>
          <w:i/>
        </w:rPr>
        <w:instrText xml:space="preserve"> </w:instrText>
      </w:r>
      <w:proofErr w:type="spellStart"/>
      <w:r w:rsidR="00F9104E" w:rsidRPr="001302DA">
        <w:rPr>
          <w:i/>
        </w:rPr>
        <w:instrText>García</w:instrText>
      </w:r>
      <w:proofErr w:type="spellEnd"/>
      <w:r w:rsidR="00F9104E" w:rsidRPr="001302DA">
        <w:rPr>
          <w:i/>
        </w:rPr>
        <w:instrText xml:space="preserve"> </w:instrText>
      </w:r>
      <w:proofErr w:type="spellStart"/>
      <w:r w:rsidR="00F9104E" w:rsidRPr="001302DA">
        <w:rPr>
          <w:i/>
        </w:rPr>
        <w:instrText>Hermida</w:instrText>
      </w:r>
      <w:proofErr w:type="spellEnd"/>
      <w:r w:rsidR="00F9104E" w:rsidRPr="001302DA">
        <w:rPr>
          <w:i/>
        </w:rPr>
        <w:instrText xml:space="preserve">-Van Der </w:instrText>
      </w:r>
      <w:proofErr w:type="spellStart"/>
      <w:r w:rsidR="00F9104E" w:rsidRPr="001302DA">
        <w:rPr>
          <w:i/>
        </w:rPr>
        <w:instrText>Walle</w:instrText>
      </w:r>
      <w:proofErr w:type="spellEnd"/>
      <w:r w:rsidRPr="001302DA">
        <w:rPr>
          <w:i/>
        </w:rPr>
        <w:instrText xml:space="preserve">)"\l3 \n&gt; \* MERGEFORMAT </w:instrText>
      </w:r>
      <w:r w:rsidRPr="001302DA">
        <w:rPr>
          <w:i/>
        </w:rPr>
        <w:fldChar w:fldCharType="end"/>
      </w:r>
    </w:p>
    <w:p w14:paraId="715EC01D" w14:textId="77777777" w:rsidR="00AC2DD9" w:rsidRPr="001302DA" w:rsidRDefault="00AC2DD9" w:rsidP="00AC2DD9">
      <w:pPr>
        <w:rPr>
          <w:vanish/>
        </w:rPr>
      </w:pPr>
      <w:bookmarkStart w:id="3" w:name="Commission"/>
      <w:r w:rsidRPr="001302DA">
        <w:rPr>
          <w:vanish/>
        </w:rPr>
        <w:t>Kodanikuvabaduste, justiits- ja siseasjade komisjon</w:t>
      </w:r>
      <w:bookmarkEnd w:id="3"/>
    </w:p>
    <w:p w14:paraId="5AFD1404" w14:textId="77777777" w:rsidR="00AC2DD9" w:rsidRPr="001302DA" w:rsidRDefault="00AC2DD9" w:rsidP="00AC2DD9">
      <w:pPr>
        <w:rPr>
          <w:vanish/>
        </w:rPr>
      </w:pPr>
      <w:bookmarkStart w:id="4" w:name="PE"/>
      <w:r w:rsidRPr="001302DA">
        <w:rPr>
          <w:vanish/>
        </w:rPr>
        <w:t>PE753.573</w:t>
      </w:r>
      <w:bookmarkEnd w:id="4"/>
    </w:p>
    <w:p w14:paraId="39F5C47B" w14:textId="491DCCF5" w:rsidR="00AC2DD9" w:rsidRPr="001302DA" w:rsidRDefault="00AC2DD9" w:rsidP="00AC2DD9">
      <w:pPr>
        <w:pStyle w:val="ATHeading3"/>
      </w:pPr>
      <w:bookmarkStart w:id="5" w:name="Sujet"/>
      <w:r w:rsidRPr="001302DA">
        <w:t xml:space="preserve">Euroopa Parlamendi </w:t>
      </w:r>
      <w:r w:rsidR="00F9104E" w:rsidRPr="001302DA">
        <w:t>26</w:t>
      </w:r>
      <w:r w:rsidRPr="001302DA">
        <w:t>.</w:t>
      </w:r>
      <w:r w:rsidR="00F9104E" w:rsidRPr="001302DA">
        <w:t> märtsi</w:t>
      </w:r>
      <w:r w:rsidRPr="001302DA">
        <w:t xml:space="preserve"> 2026.</w:t>
      </w:r>
      <w:r w:rsidR="00F9104E" w:rsidRPr="001302DA">
        <w:t> </w:t>
      </w:r>
      <w:r w:rsidRPr="001302DA">
        <w:t>aasta seadusandlik resolutsioon ettepaneku kohta võtta vastu Euroopa Parlamendi ja nõukogu direktiiv, milles käsitletakse korruptsioonivastast võitlust ning millega asendatakse nõukogu raamotsus 2003/568/JSK ja Euroopa ühenduste ametnike või Euroopa Liidu liikmesriikide ametnikega seotud korruptsiooni vastast võitlust käsitlev konventsioon ning muudetakse Euroopa Parlamendi ja nõukogu direktiivi (EL) 2017/1371</w:t>
      </w:r>
      <w:bookmarkEnd w:id="5"/>
      <w:r w:rsidRPr="001302DA">
        <w:t xml:space="preserve"> </w:t>
      </w:r>
      <w:bookmarkStart w:id="6" w:name="References"/>
      <w:r w:rsidRPr="001302DA">
        <w:t>(COM(2023)0234 – C9-0162/2023 – 2023/0135(COD))</w:t>
      </w:r>
      <w:bookmarkEnd w:id="6"/>
    </w:p>
    <w:p w14:paraId="054BC367" w14:textId="77777777" w:rsidR="00654A40" w:rsidRPr="001302DA" w:rsidRDefault="00654A40" w:rsidP="00654A40">
      <w:pPr>
        <w:pStyle w:val="NormalBold"/>
      </w:pPr>
      <w:r w:rsidRPr="001302DA">
        <w:t>(Seadusandlik tavamenetlus: esimene lugemine)</w:t>
      </w:r>
    </w:p>
    <w:p w14:paraId="4693F792" w14:textId="77777777" w:rsidR="00654A40" w:rsidRPr="001302DA" w:rsidRDefault="00654A40" w:rsidP="00654A40">
      <w:pPr>
        <w:pStyle w:val="EPComma"/>
      </w:pPr>
      <w:r w:rsidRPr="001302DA">
        <w:rPr>
          <w:i/>
        </w:rPr>
        <w:t>Euroopa Parlament</w:t>
      </w:r>
      <w:r w:rsidRPr="001302DA">
        <w:t>,</w:t>
      </w:r>
    </w:p>
    <w:p w14:paraId="358D7BE0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komisjoni ettepanekut Euroopa Parlamendile ja nõukogule (COM(2023)0234),</w:t>
      </w:r>
    </w:p>
    <w:p w14:paraId="0FD60011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Euroopa Liidu toimimise lepingu artikli 294 lõiget 2, artikli 82 lõike 1 punkti d ning artikli 83 lõikeid 1 ja 2, mille alusel komisjon esitas ettepaneku Euroopa Parlamendile (C9-0162/2023),</w:t>
      </w:r>
    </w:p>
    <w:p w14:paraId="1FCD4ECA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Euroopa Liidu toimimise lepingu artikli 294 lõiget 3,</w:t>
      </w:r>
    </w:p>
    <w:p w14:paraId="22546138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Rootsi parlamendi ja Itaalia Saadikutekoja subsidiaarsuse ja proportsionaalsuse põhimõtete kohaldamist käsitleva protokolli nr 2 alusel esitatud põhjendatud arvamusi, mille kohaselt ei vasta õigusakti ettepanek subsidiaarsuse põhimõttele,</w:t>
      </w:r>
    </w:p>
    <w:p w14:paraId="7A9C2A62" w14:textId="74D360D2" w:rsidR="00F9104E" w:rsidRPr="001302DA" w:rsidRDefault="00F9104E" w:rsidP="00F9104E">
      <w:pPr>
        <w:spacing w:after="240"/>
        <w:ind w:left="567" w:hanging="567"/>
      </w:pPr>
      <w:r w:rsidRPr="001302DA">
        <w:t>–</w:t>
      </w:r>
      <w:r w:rsidRPr="001302DA">
        <w:tab/>
        <w:t xml:space="preserve">võttes arvesse Euroopa Majandus- ja Sotsiaalkomitee </w:t>
      </w:r>
      <w:r w:rsidR="00C55BB5" w:rsidRPr="001302DA">
        <w:t xml:space="preserve">25. oktoobri 2023. aasta </w:t>
      </w:r>
      <w:r w:rsidRPr="001302DA">
        <w:t>arvamust</w:t>
      </w:r>
      <w:r w:rsidR="00D80E5D" w:rsidRPr="001302DA">
        <w:rPr>
          <w:rStyle w:val="FootnoteReference"/>
        </w:rPr>
        <w:footnoteReference w:id="1"/>
      </w:r>
      <w:r w:rsidRPr="001302DA">
        <w:t>,</w:t>
      </w:r>
    </w:p>
    <w:p w14:paraId="6DA753DD" w14:textId="3C4F2FB6" w:rsidR="00F9104E" w:rsidRPr="001302DA" w:rsidRDefault="00F9104E" w:rsidP="00654A40">
      <w:pPr>
        <w:pStyle w:val="NormalHanging12a"/>
      </w:pPr>
      <w:r w:rsidRPr="001302DA">
        <w:t>–</w:t>
      </w:r>
      <w:r w:rsidRPr="001302DA">
        <w:tab/>
        <w:t>võttes arvesse Regioonide Komitee</w:t>
      </w:r>
      <w:r w:rsidR="00C55BB5" w:rsidRPr="001302DA">
        <w:t xml:space="preserve"> 29. novembri 2023. aasta</w:t>
      </w:r>
      <w:r w:rsidRPr="001302DA">
        <w:t xml:space="preserve"> arvamust</w:t>
      </w:r>
      <w:r w:rsidR="00D80E5D" w:rsidRPr="001302DA">
        <w:rPr>
          <w:rStyle w:val="FootnoteReference"/>
        </w:rPr>
        <w:footnoteReference w:id="2"/>
      </w:r>
      <w:r w:rsidRPr="001302DA">
        <w:t>,</w:t>
      </w:r>
    </w:p>
    <w:p w14:paraId="7D79A830" w14:textId="3D5F353E" w:rsidR="00F9104E" w:rsidRPr="001302DA" w:rsidRDefault="00F9104E" w:rsidP="00F9104E">
      <w:pPr>
        <w:spacing w:after="240"/>
        <w:ind w:left="567" w:hanging="567"/>
      </w:pPr>
      <w:r w:rsidRPr="001302DA">
        <w:lastRenderedPageBreak/>
        <w:t>–</w:t>
      </w:r>
      <w:r w:rsidRPr="001302DA">
        <w:tab/>
        <w:t>võttes arvesse vastutava komisjoni poolt kodukorra artikli 75 lõike 4 alusel heaks kiidetud esialgset kokkulepet ja nõukogu esindaja poolt 10. detsembri 2025. aasta kirjas võetud kohustust kiita Euroopa Parlamendi seisukoht heaks vastavalt Euroopa Liidu toimimise lepingu artikli 294 lõikele 4,</w:t>
      </w:r>
    </w:p>
    <w:p w14:paraId="1A225FE9" w14:textId="66E95DAF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 xml:space="preserve">võttes arvesse kodukorra artiklit </w:t>
      </w:r>
      <w:r w:rsidR="00F9104E" w:rsidRPr="001302DA">
        <w:t>60</w:t>
      </w:r>
      <w:r w:rsidRPr="001302DA">
        <w:t>,</w:t>
      </w:r>
    </w:p>
    <w:p w14:paraId="33C63AD2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eelarvekontrollikomisjoni arvamust,</w:t>
      </w:r>
    </w:p>
    <w:p w14:paraId="56CB6793" w14:textId="77777777" w:rsidR="00654A40" w:rsidRPr="001302DA" w:rsidRDefault="00654A40" w:rsidP="00654A40">
      <w:pPr>
        <w:pStyle w:val="NormalHanging12a"/>
      </w:pPr>
      <w:r w:rsidRPr="001302DA">
        <w:t>–</w:t>
      </w:r>
      <w:r w:rsidRPr="001302DA">
        <w:tab/>
        <w:t>võttes arvesse kodanikuvabaduste, justiits- ja siseasjade komisjoni raportit (A9-0048/2024),</w:t>
      </w:r>
    </w:p>
    <w:p w14:paraId="545151B6" w14:textId="77777777" w:rsidR="00654A40" w:rsidRPr="001302DA" w:rsidRDefault="00654A40" w:rsidP="00654A40">
      <w:pPr>
        <w:pStyle w:val="NormalHanging12a"/>
      </w:pPr>
      <w:r w:rsidRPr="001302DA">
        <w:t>1.</w:t>
      </w:r>
      <w:r w:rsidRPr="001302DA">
        <w:tab/>
        <w:t xml:space="preserve">võtab vastu allpool toodud esimese lugemise seisukoha; </w:t>
      </w:r>
    </w:p>
    <w:p w14:paraId="4EB88EC1" w14:textId="77777777" w:rsidR="00654A40" w:rsidRPr="001302DA" w:rsidRDefault="00654A40" w:rsidP="00654A40">
      <w:pPr>
        <w:pStyle w:val="NormalHanging12a"/>
      </w:pPr>
      <w:r w:rsidRPr="001302DA">
        <w:t>2.</w:t>
      </w:r>
      <w:r w:rsidRPr="001302DA">
        <w:tab/>
        <w:t>palub komisjonil ettepaneku uuesti Euroopa Parlamendile saata, kui komisjon asendab selle uue ettepanekuga, muudab seda oluliselt või kavatseb seda oluliselt muuta;</w:t>
      </w:r>
    </w:p>
    <w:p w14:paraId="2F31079D" w14:textId="4503AADD" w:rsidR="00654A40" w:rsidRPr="001302DA" w:rsidRDefault="00654A40" w:rsidP="00F9104E">
      <w:pPr>
        <w:pStyle w:val="NormalHanging12a"/>
      </w:pPr>
      <w:r w:rsidRPr="001302DA">
        <w:t>3.</w:t>
      </w:r>
      <w:r w:rsidRPr="001302DA">
        <w:tab/>
        <w:t>teeb presidendile ülesandeks edastada Euroopa Parlamendi seisukoht nõukogule ja komisjonile ning liikmesriikide parlamentidele.</w:t>
      </w:r>
    </w:p>
    <w:p w14:paraId="06FDE941" w14:textId="77777777" w:rsidR="00654A40" w:rsidRPr="001302DA" w:rsidRDefault="00654A40" w:rsidP="00654A40"/>
    <w:p w14:paraId="7B8AE731" w14:textId="77777777" w:rsidR="00F9104E" w:rsidRPr="001302DA" w:rsidRDefault="00F9104E" w:rsidP="00654A40">
      <w:pPr>
        <w:pStyle w:val="AmNumberTabs"/>
        <w:sectPr w:rsidR="00F9104E" w:rsidRPr="001302DA" w:rsidSect="00901E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A177B9" w14:textId="77777777" w:rsidR="00C55BB5" w:rsidRPr="001302DA" w:rsidRDefault="00C55BB5" w:rsidP="00C55BB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302DA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11F45EEB" w14:textId="16D2218B" w:rsidR="00C55BB5" w:rsidRDefault="00C55BB5" w:rsidP="00C55BB5">
      <w:pPr>
        <w:spacing w:after="240"/>
        <w:rPr>
          <w:rFonts w:eastAsia="Calibri"/>
          <w:b/>
          <w:color w:val="000000"/>
          <w:szCs w:val="22"/>
          <w:lang w:eastAsia="en-US"/>
        </w:rPr>
      </w:pPr>
      <w:r w:rsidRPr="001302DA">
        <w:rPr>
          <w:b/>
          <w:noProof/>
        </w:rPr>
        <w:t xml:space="preserve">Euroopa Parlamendi seisukoht, vastu võetud esimesel lugemisel 26. märtsil 2026. aastal eesmärgiga võtta vastu Euroopa Parlamendi ja nõukogu </w:t>
      </w:r>
      <w:r w:rsidRPr="001302DA">
        <w:rPr>
          <w:b/>
        </w:rPr>
        <w:t xml:space="preserve">direktiiv (EL) 2026/…, </w:t>
      </w:r>
      <w:r w:rsidRPr="001302DA">
        <w:rPr>
          <w:rFonts w:eastAsia="Calibri"/>
          <w:b/>
          <w:color w:val="000000"/>
          <w:szCs w:val="22"/>
          <w:lang w:eastAsia="en-US"/>
        </w:rPr>
        <w:t>milles käsitletakse korruptsioonivastast võitlust ning millega asendatakse nõukogu raamotsus 2003/568/JSK ja Euroopa ühenduste ametnike või Euroopa Liidu liikmesriikide ametnikega seotud korruptsiooni vastast võitlust käsitlev konventsioon ning muudetakse Euroopa Parlamendi ja nõukogu direktiivi (EL) 2017/1371</w:t>
      </w:r>
    </w:p>
    <w:p w14:paraId="31D19387" w14:textId="20E64329" w:rsidR="007A5FBE" w:rsidRPr="001302DA" w:rsidRDefault="007A5FBE" w:rsidP="007A5FBE">
      <w:pPr>
        <w:rPr>
          <w:rFonts w:eastAsia="Calibri"/>
          <w:b/>
          <w:color w:val="000000"/>
          <w:szCs w:val="22"/>
          <w:lang w:eastAsia="en-US"/>
        </w:rPr>
      </w:pPr>
      <w:r w:rsidRPr="006D4016">
        <w:rPr>
          <w:i/>
        </w:rPr>
        <w:t>(Kuna Euroopa Parlament ja nõukogu jõudsid kokkuleppele, vastab Euroopa Parlamendi seisukoht õigusakti (</w:t>
      </w:r>
      <w:r w:rsidRPr="007A5FBE">
        <w:rPr>
          <w:i/>
        </w:rPr>
        <w:t>direktiiv (EL) </w:t>
      </w:r>
      <w:r w:rsidRPr="007A5FBE">
        <w:rPr>
          <w:i/>
        </w:rPr>
        <w:t>2026</w:t>
      </w:r>
      <w:r w:rsidRPr="007A5FBE">
        <w:rPr>
          <w:i/>
        </w:rPr>
        <w:t>/</w:t>
      </w:r>
      <w:r>
        <w:rPr>
          <w:i/>
        </w:rPr>
        <w:t>1021</w:t>
      </w:r>
      <w:r w:rsidRPr="006D4016">
        <w:rPr>
          <w:i/>
        </w:rPr>
        <w:t>) lõplikule kujule).</w:t>
      </w:r>
    </w:p>
    <w:sectPr w:rsidR="007A5FBE" w:rsidRPr="001302DA" w:rsidSect="00901E4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2BB56" w14:textId="77777777" w:rsidR="00AC2DD9" w:rsidRPr="00901E49" w:rsidRDefault="00AC2DD9">
      <w:r w:rsidRPr="00901E49">
        <w:separator/>
      </w:r>
    </w:p>
  </w:endnote>
  <w:endnote w:type="continuationSeparator" w:id="0">
    <w:p w14:paraId="1B0F81FF" w14:textId="77777777" w:rsidR="00AC2DD9" w:rsidRPr="00901E49" w:rsidRDefault="00AC2DD9">
      <w:r w:rsidRPr="00901E4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37734" w14:textId="77777777" w:rsidR="00064002" w:rsidRPr="00901E4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265C" w14:textId="77777777" w:rsidR="00064002" w:rsidRPr="00901E4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C9FD0" w14:textId="77777777" w:rsidR="00064002" w:rsidRPr="00901E4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D70F2" w14:textId="77777777" w:rsidR="00AC2DD9" w:rsidRPr="00901E49" w:rsidRDefault="00AC2DD9">
      <w:r w:rsidRPr="00901E49">
        <w:separator/>
      </w:r>
    </w:p>
  </w:footnote>
  <w:footnote w:type="continuationSeparator" w:id="0">
    <w:p w14:paraId="684AFDB6" w14:textId="77777777" w:rsidR="00AC2DD9" w:rsidRPr="00901E49" w:rsidRDefault="00AC2DD9">
      <w:r w:rsidRPr="00901E49">
        <w:continuationSeparator/>
      </w:r>
    </w:p>
  </w:footnote>
  <w:footnote w:id="1">
    <w:p w14:paraId="1B2A4750" w14:textId="78E7A0F1" w:rsidR="00D80E5D" w:rsidRPr="00C55BB5" w:rsidRDefault="00D80E5D" w:rsidP="001302DA">
      <w:pPr>
        <w:pStyle w:val="FootnoteText"/>
        <w:ind w:left="567" w:hanging="567"/>
        <w:rPr>
          <w:lang w:val="et-EE"/>
        </w:rPr>
      </w:pPr>
      <w:r w:rsidRPr="00C55BB5">
        <w:rPr>
          <w:rStyle w:val="FootnoteReference"/>
          <w:sz w:val="24"/>
          <w:szCs w:val="24"/>
          <w:lang w:val="et-EE"/>
        </w:rPr>
        <w:footnoteRef/>
      </w:r>
      <w:r w:rsidRPr="00C55BB5">
        <w:rPr>
          <w:sz w:val="24"/>
          <w:szCs w:val="24"/>
          <w:lang w:val="et-EE"/>
        </w:rPr>
        <w:tab/>
        <w:t>ELT C, C/2024/886, 6.2.2024, ELI: http://data.europa.eu/eli/C/2024/886/oj.</w:t>
      </w:r>
    </w:p>
  </w:footnote>
  <w:footnote w:id="2">
    <w:p w14:paraId="4D3E9AF6" w14:textId="34512D3B" w:rsidR="00D80E5D" w:rsidRPr="00C55BB5" w:rsidRDefault="00D80E5D" w:rsidP="001302DA">
      <w:pPr>
        <w:pStyle w:val="FootnoteText"/>
        <w:ind w:left="567" w:hanging="567"/>
        <w:rPr>
          <w:sz w:val="24"/>
          <w:szCs w:val="24"/>
          <w:lang w:val="et-EE"/>
        </w:rPr>
      </w:pPr>
      <w:r w:rsidRPr="00C55BB5">
        <w:rPr>
          <w:rStyle w:val="FootnoteReference"/>
          <w:sz w:val="24"/>
          <w:szCs w:val="24"/>
          <w:lang w:val="et-EE"/>
        </w:rPr>
        <w:footnoteRef/>
      </w:r>
      <w:r w:rsidRPr="00C55BB5">
        <w:rPr>
          <w:sz w:val="24"/>
          <w:szCs w:val="24"/>
          <w:lang w:val="et-EE"/>
        </w:rPr>
        <w:tab/>
        <w:t>ELT C, C/2024/1048, 9.2.2024, ELI: http://data.europa.eu/eli/C/2024/1048/oj.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81F29" w14:textId="77777777" w:rsidR="00064002" w:rsidRPr="00901E4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4A78D" w14:textId="77777777" w:rsidR="00064002" w:rsidRPr="00901E4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103E8" w14:textId="77777777" w:rsidR="00064002" w:rsidRPr="00901E4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800950931">
    <w:abstractNumId w:val="2"/>
  </w:num>
  <w:num w:numId="2" w16cid:durableId="802191546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1120805175">
    <w:abstractNumId w:val="12"/>
  </w:num>
  <w:num w:numId="24" w16cid:durableId="394620040">
    <w:abstractNumId w:val="24"/>
  </w:num>
  <w:num w:numId="25" w16cid:durableId="676540896">
    <w:abstractNumId w:val="4"/>
  </w:num>
  <w:num w:numId="26" w16cid:durableId="2121102845">
    <w:abstractNumId w:val="8"/>
  </w:num>
  <w:num w:numId="27" w16cid:durableId="472244">
    <w:abstractNumId w:val="38"/>
  </w:num>
  <w:num w:numId="28" w16cid:durableId="56824613">
    <w:abstractNumId w:val="5"/>
  </w:num>
  <w:num w:numId="29" w16cid:durableId="636691141">
    <w:abstractNumId w:val="18"/>
  </w:num>
  <w:num w:numId="30" w16cid:durableId="1260260269">
    <w:abstractNumId w:val="21"/>
  </w:num>
  <w:num w:numId="31" w16cid:durableId="548683377">
    <w:abstractNumId w:val="20"/>
  </w:num>
  <w:num w:numId="32" w16cid:durableId="1722947903">
    <w:abstractNumId w:val="37"/>
  </w:num>
  <w:num w:numId="33" w16cid:durableId="838932580">
    <w:abstractNumId w:val="14"/>
  </w:num>
  <w:num w:numId="34" w16cid:durableId="1484544468">
    <w:abstractNumId w:val="15"/>
  </w:num>
  <w:num w:numId="35" w16cid:durableId="1130898363">
    <w:abstractNumId w:val="16"/>
  </w:num>
  <w:num w:numId="36" w16cid:durableId="1763187034">
    <w:abstractNumId w:val="19"/>
  </w:num>
  <w:num w:numId="37" w16cid:durableId="1433164238">
    <w:abstractNumId w:val="34"/>
  </w:num>
  <w:num w:numId="38" w16cid:durableId="490677060">
    <w:abstractNumId w:val="33"/>
  </w:num>
  <w:num w:numId="39" w16cid:durableId="867566755">
    <w:abstractNumId w:val="35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ET"/>
    <w:docVar w:name="dvnumam" w:val="251"/>
    <w:docVar w:name="dvpe" w:val="753.573"/>
    <w:docVar w:name="dvrapporteur" w:val="Raportöör: "/>
    <w:docVar w:name="dvstar" w:val="***I"/>
    <w:docVar w:name="dvtitre" w:val="Euroopa Parlamendi .... 2026. aasta seadusandlik resolutsioon ettepaneku kohta võtta vastu Euroopa Parlamendi ja nõukogu direktiiv, milles käsitletakse korruptsioonivastast võitlust ning millega asendatakse nõukogu raamotsus 2003/568/JSK ja Euroopa ühenduste ametnike või Euroopa Liidu liikmesriikide ametnikega seotud korruptsiooni vastast võitlust käsitlev konventsioon ning muudetakse Euroopa Parlamendi ja nõukogu direktiivi (EL) 2017/1371(COM(2023)0234 – C9-0162/2023 – 2023/0135(COD))"/>
  </w:docVars>
  <w:rsids>
    <w:rsidRoot w:val="00AC2DD9"/>
    <w:rsid w:val="00002272"/>
    <w:rsid w:val="00064002"/>
    <w:rsid w:val="000677B9"/>
    <w:rsid w:val="000831BA"/>
    <w:rsid w:val="000A42CC"/>
    <w:rsid w:val="000E7DD9"/>
    <w:rsid w:val="0010095E"/>
    <w:rsid w:val="00125B37"/>
    <w:rsid w:val="001302DA"/>
    <w:rsid w:val="00154591"/>
    <w:rsid w:val="00187494"/>
    <w:rsid w:val="001F32AE"/>
    <w:rsid w:val="002767FF"/>
    <w:rsid w:val="002B18FE"/>
    <w:rsid w:val="002B5493"/>
    <w:rsid w:val="003122C5"/>
    <w:rsid w:val="00341628"/>
    <w:rsid w:val="00343214"/>
    <w:rsid w:val="00356FEC"/>
    <w:rsid w:val="00361C00"/>
    <w:rsid w:val="00395FA1"/>
    <w:rsid w:val="003E15D4"/>
    <w:rsid w:val="00411CCE"/>
    <w:rsid w:val="0041666E"/>
    <w:rsid w:val="00421060"/>
    <w:rsid w:val="00441094"/>
    <w:rsid w:val="00471C19"/>
    <w:rsid w:val="00474AD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4A4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FBE"/>
    <w:rsid w:val="007C539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1E49"/>
    <w:rsid w:val="00930C23"/>
    <w:rsid w:val="0093193B"/>
    <w:rsid w:val="009509D8"/>
    <w:rsid w:val="00950B64"/>
    <w:rsid w:val="00981893"/>
    <w:rsid w:val="009F2F6D"/>
    <w:rsid w:val="00A1687D"/>
    <w:rsid w:val="00A43E52"/>
    <w:rsid w:val="00A4678D"/>
    <w:rsid w:val="00A778C7"/>
    <w:rsid w:val="00AB441E"/>
    <w:rsid w:val="00AB6293"/>
    <w:rsid w:val="00AC2DD9"/>
    <w:rsid w:val="00AE0928"/>
    <w:rsid w:val="00AE76FF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5BB5"/>
    <w:rsid w:val="00C61C0C"/>
    <w:rsid w:val="00C941CB"/>
    <w:rsid w:val="00CC2357"/>
    <w:rsid w:val="00CF071A"/>
    <w:rsid w:val="00D058B8"/>
    <w:rsid w:val="00D50BE6"/>
    <w:rsid w:val="00D56C11"/>
    <w:rsid w:val="00D80E5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104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FE1485"/>
  <w15:chartTrackingRefBased/>
  <w15:docId w15:val="{7F4FA454-627B-4B51-87A6-D9AC4F1E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54A4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654A4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654A4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654A4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A4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A40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A40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A40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A40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654A4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54A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54A4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54A40"/>
    <w:pPr>
      <w:spacing w:after="120"/>
    </w:pPr>
  </w:style>
  <w:style w:type="paragraph" w:customStyle="1" w:styleId="PageHeading">
    <w:name w:val="PageHeading"/>
    <w:basedOn w:val="Normal"/>
    <w:rsid w:val="00654A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54A40"/>
    <w:rPr>
      <w:b/>
    </w:rPr>
  </w:style>
  <w:style w:type="paragraph" w:customStyle="1" w:styleId="NormalBold12a">
    <w:name w:val="NormalBold12a"/>
    <w:basedOn w:val="Normal"/>
    <w:rsid w:val="00654A40"/>
    <w:pPr>
      <w:spacing w:after="240"/>
    </w:pPr>
    <w:rPr>
      <w:b/>
    </w:rPr>
  </w:style>
  <w:style w:type="paragraph" w:customStyle="1" w:styleId="AmJustText">
    <w:name w:val="AmJustText"/>
    <w:basedOn w:val="Normal"/>
    <w:rsid w:val="00654A4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54A4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54A40"/>
    <w:pPr>
      <w:spacing w:after="480"/>
      <w:ind w:left="1417"/>
    </w:pPr>
  </w:style>
  <w:style w:type="paragraph" w:customStyle="1" w:styleId="CoverNormal">
    <w:name w:val="CoverNormal"/>
    <w:basedOn w:val="Normal"/>
    <w:rsid w:val="00654A40"/>
    <w:pPr>
      <w:ind w:left="1418"/>
    </w:pPr>
  </w:style>
  <w:style w:type="paragraph" w:customStyle="1" w:styleId="AmCrossRef">
    <w:name w:val="AmCrossRef"/>
    <w:basedOn w:val="Normal"/>
    <w:rsid w:val="00654A4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54A4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54A4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54A4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54A4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54A4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54A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4A40"/>
    <w:rPr>
      <w:sz w:val="24"/>
      <w:lang w:val="et-EE"/>
    </w:rPr>
  </w:style>
  <w:style w:type="paragraph" w:customStyle="1" w:styleId="AmOrLang">
    <w:name w:val="AmOrLang"/>
    <w:basedOn w:val="Normal"/>
    <w:rsid w:val="00654A4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54A4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54A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54A40"/>
    <w:pPr>
      <w:spacing w:before="240"/>
    </w:pPr>
    <w:rPr>
      <w:b/>
    </w:rPr>
  </w:style>
  <w:style w:type="paragraph" w:customStyle="1" w:styleId="EPBody">
    <w:name w:val="EPBody"/>
    <w:basedOn w:val="Normal"/>
    <w:rsid w:val="00654A4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54A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54A40"/>
    <w:pPr>
      <w:spacing w:before="480" w:after="240"/>
    </w:pPr>
  </w:style>
  <w:style w:type="paragraph" w:customStyle="1" w:styleId="Lgendesigne">
    <w:name w:val="Légende signe"/>
    <w:basedOn w:val="Normal"/>
    <w:rsid w:val="00654A4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54A4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54A40"/>
    <w:rPr>
      <w:sz w:val="18"/>
    </w:rPr>
  </w:style>
  <w:style w:type="paragraph" w:customStyle="1" w:styleId="msonormal0">
    <w:name w:val="msonormal"/>
    <w:basedOn w:val="Normal"/>
    <w:rsid w:val="00654A40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654A40"/>
    <w:rPr>
      <w:noProof/>
      <w:sz w:val="24"/>
    </w:rPr>
  </w:style>
  <w:style w:type="paragraph" w:customStyle="1" w:styleId="Normal12">
    <w:name w:val="Normal12"/>
    <w:basedOn w:val="Normal"/>
    <w:link w:val="Normal12Char"/>
    <w:rsid w:val="00654A40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54A4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54A4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54A4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54A40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654A40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654A40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654A40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654A40"/>
    <w:rPr>
      <w:b/>
      <w:sz w:val="24"/>
      <w:lang w:val="et-EE"/>
    </w:rPr>
  </w:style>
  <w:style w:type="paragraph" w:customStyle="1" w:styleId="Normal12Italic">
    <w:name w:val="Normal12Italic"/>
    <w:basedOn w:val="Normal12"/>
    <w:rsid w:val="00654A40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654A40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654A40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654A40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654A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654A40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654A40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54A40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654A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54A40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654A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4A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54A40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54A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54A40"/>
    <w:rPr>
      <w:b/>
      <w:bCs/>
      <w:lang w:val="et-EE"/>
    </w:rPr>
  </w:style>
  <w:style w:type="paragraph" w:customStyle="1" w:styleId="Normal1">
    <w:name w:val="Normal1"/>
    <w:basedOn w:val="Normal"/>
    <w:rsid w:val="00654A40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54A40"/>
    <w:rPr>
      <w:sz w:val="24"/>
    </w:rPr>
  </w:style>
  <w:style w:type="character" w:customStyle="1" w:styleId="AmNumberTabsChar">
    <w:name w:val="AmNumberTabs Char"/>
    <w:basedOn w:val="DefaultParagraphFont"/>
    <w:link w:val="AmNumberTabs"/>
    <w:rsid w:val="00654A40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654A40"/>
    <w:rPr>
      <w:b/>
      <w:sz w:val="24"/>
      <w:lang w:val="et-EE"/>
    </w:rPr>
  </w:style>
  <w:style w:type="paragraph" w:customStyle="1" w:styleId="Normal24a">
    <w:name w:val="Normal24a"/>
    <w:basedOn w:val="Normal"/>
    <w:rsid w:val="00654A40"/>
    <w:pPr>
      <w:spacing w:after="480"/>
    </w:pPr>
  </w:style>
  <w:style w:type="paragraph" w:customStyle="1" w:styleId="NormalBoldCenter">
    <w:name w:val="NormalBoldCenter"/>
    <w:basedOn w:val="Normal"/>
    <w:rsid w:val="00654A40"/>
    <w:pPr>
      <w:jc w:val="center"/>
    </w:pPr>
    <w:rPr>
      <w:b/>
    </w:rPr>
  </w:style>
  <w:style w:type="paragraph" w:customStyle="1" w:styleId="Normal12a">
    <w:name w:val="Normal12a"/>
    <w:basedOn w:val="Normal"/>
    <w:rsid w:val="00654A40"/>
    <w:pPr>
      <w:spacing w:after="240"/>
    </w:pPr>
  </w:style>
  <w:style w:type="paragraph" w:customStyle="1" w:styleId="PageHeadingNotTOC">
    <w:name w:val="PageHeadingNotTOC"/>
    <w:basedOn w:val="Normal"/>
    <w:rsid w:val="00654A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54A4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54A4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54A4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54A4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54A40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54A4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rsid w:val="00654A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4A40"/>
    <w:rPr>
      <w:sz w:val="24"/>
      <w:lang w:val="et-EE"/>
    </w:rPr>
  </w:style>
  <w:style w:type="paragraph" w:customStyle="1" w:styleId="AmDocTypeTab">
    <w:name w:val="AmDocTypeTab"/>
    <w:basedOn w:val="Normal"/>
    <w:rsid w:val="00C55BB5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C55BB5"/>
    <w:pPr>
      <w:spacing w:after="240"/>
      <w:jc w:val="center"/>
    </w:pPr>
  </w:style>
  <w:style w:type="paragraph" w:customStyle="1" w:styleId="AmDateTab">
    <w:name w:val="AmDateTab"/>
    <w:basedOn w:val="Normal"/>
    <w:rsid w:val="00C55BB5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55BB5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C55BB5"/>
  </w:style>
  <w:style w:type="paragraph" w:customStyle="1" w:styleId="Title1">
    <w:name w:val="Title1"/>
    <w:basedOn w:val="Normal"/>
    <w:next w:val="Normal"/>
    <w:uiPriority w:val="10"/>
    <w:qFormat/>
    <w:rsid w:val="00C55BB5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55BB5"/>
    <w:rPr>
      <w:rFonts w:ascii="Cambria" w:hAnsi="Cambria"/>
      <w:spacing w:val="-10"/>
      <w:kern w:val="28"/>
      <w:sz w:val="56"/>
      <w:szCs w:val="56"/>
      <w:lang w:val="fr-CA"/>
    </w:rPr>
  </w:style>
  <w:style w:type="paragraph" w:customStyle="1" w:styleId="Subtitle1">
    <w:name w:val="Subtitle1"/>
    <w:basedOn w:val="Normal"/>
    <w:next w:val="Normal"/>
    <w:uiPriority w:val="11"/>
    <w:qFormat/>
    <w:rsid w:val="00C55BB5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55BB5"/>
    <w:rPr>
      <w:color w:val="595959"/>
      <w:spacing w:val="15"/>
      <w:sz w:val="28"/>
      <w:szCs w:val="28"/>
      <w:lang w:val="fr-CA"/>
    </w:rPr>
  </w:style>
  <w:style w:type="paragraph" w:customStyle="1" w:styleId="Quote1">
    <w:name w:val="Quote1"/>
    <w:basedOn w:val="Normal"/>
    <w:next w:val="Normal"/>
    <w:uiPriority w:val="29"/>
    <w:qFormat/>
    <w:rsid w:val="00C55BB5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55BB5"/>
    <w:rPr>
      <w:i/>
      <w:iCs/>
      <w:color w:val="404040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C55BB5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C55BB5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C55BB5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BB5"/>
    <w:rPr>
      <w:i/>
      <w:iCs/>
      <w:color w:val="365F91"/>
      <w:sz w:val="24"/>
      <w:lang w:val="fr-CA"/>
    </w:rPr>
  </w:style>
  <w:style w:type="character" w:customStyle="1" w:styleId="IntenseReference1">
    <w:name w:val="Intense Reference1"/>
    <w:basedOn w:val="DefaultParagraphFont"/>
    <w:uiPriority w:val="32"/>
    <w:qFormat/>
    <w:rsid w:val="00C55BB5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C55BB5"/>
    <w:rPr>
      <w:rFonts w:eastAsia="Calibri" w:cs="Arial"/>
      <w:sz w:val="24"/>
      <w:szCs w:val="22"/>
      <w:lang w:eastAsia="en-US"/>
    </w:rPr>
  </w:style>
  <w:style w:type="paragraph" w:customStyle="1" w:styleId="NormalCentered">
    <w:name w:val="Normal Centered"/>
    <w:basedOn w:val="Normal"/>
    <w:rsid w:val="00C55BB5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55BB5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55BB5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55BB5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55BB5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55BB5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55BB5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55BB5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55B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55B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55BB5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55BB5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55BB5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55BB5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55BB5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55BB5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55BB5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55BB5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55BB5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55BB5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55BB5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55BB5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55BB5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55BB5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55BB5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55BB5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C55BB5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C55BB5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C55BB5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C55BB5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C55BB5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C55BB5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C55BB5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C55BB5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C55BB5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55BB5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55BB5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55BB5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55BB5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55BB5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55BB5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55BB5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55BB5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55BB5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55BB5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C55BB5"/>
    <w:pPr>
      <w:widowControl/>
      <w:numPr>
        <w:numId w:val="3"/>
      </w:numPr>
      <w:tabs>
        <w:tab w:val="clear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55BB5"/>
    <w:pPr>
      <w:widowControl/>
      <w:numPr>
        <w:numId w:val="4"/>
      </w:numPr>
      <w:tabs>
        <w:tab w:val="clear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55BB5"/>
    <w:pPr>
      <w:widowControl/>
      <w:numPr>
        <w:numId w:val="5"/>
      </w:numPr>
      <w:tabs>
        <w:tab w:val="clear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55BB5"/>
    <w:pPr>
      <w:widowControl/>
      <w:numPr>
        <w:numId w:val="6"/>
      </w:numPr>
      <w:tabs>
        <w:tab w:val="clear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55BB5"/>
    <w:pPr>
      <w:widowControl/>
      <w:numPr>
        <w:numId w:val="7"/>
      </w:numPr>
      <w:tabs>
        <w:tab w:val="clear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55BB5"/>
    <w:pPr>
      <w:numPr>
        <w:numId w:val="8"/>
      </w:numPr>
      <w:tabs>
        <w:tab w:val="clear" w:pos="567"/>
        <w:tab w:val="num" w:pos="1080"/>
      </w:tabs>
      <w:ind w:left="0" w:firstLine="0"/>
    </w:pPr>
  </w:style>
  <w:style w:type="paragraph" w:customStyle="1" w:styleId="DashEqual1">
    <w:name w:val="Dash Equal 1"/>
    <w:basedOn w:val="Dash1"/>
    <w:rsid w:val="00C55BB5"/>
    <w:pPr>
      <w:numPr>
        <w:numId w:val="9"/>
      </w:numPr>
      <w:tabs>
        <w:tab w:val="clear" w:pos="1134"/>
        <w:tab w:val="num" w:pos="1440"/>
      </w:tabs>
      <w:ind w:left="0" w:firstLine="0"/>
    </w:pPr>
  </w:style>
  <w:style w:type="paragraph" w:customStyle="1" w:styleId="DashEqual2">
    <w:name w:val="Dash Equal 2"/>
    <w:basedOn w:val="Dash2"/>
    <w:rsid w:val="00C55BB5"/>
    <w:pPr>
      <w:numPr>
        <w:numId w:val="10"/>
      </w:numPr>
      <w:tabs>
        <w:tab w:val="clear" w:pos="1701"/>
        <w:tab w:val="num" w:pos="1440"/>
      </w:tabs>
      <w:ind w:left="0" w:firstLine="0"/>
    </w:pPr>
  </w:style>
  <w:style w:type="paragraph" w:customStyle="1" w:styleId="DashEqual3">
    <w:name w:val="Dash Equal 3"/>
    <w:basedOn w:val="Dash3"/>
    <w:rsid w:val="00C55BB5"/>
    <w:pPr>
      <w:numPr>
        <w:numId w:val="11"/>
      </w:numPr>
      <w:tabs>
        <w:tab w:val="clear" w:pos="2268"/>
        <w:tab w:val="num" w:pos="1800"/>
      </w:tabs>
      <w:ind w:left="0" w:firstLine="0"/>
    </w:pPr>
  </w:style>
  <w:style w:type="paragraph" w:customStyle="1" w:styleId="DashEqual4">
    <w:name w:val="Dash Equal 4"/>
    <w:basedOn w:val="Dash4"/>
    <w:rsid w:val="00C55BB5"/>
    <w:pPr>
      <w:numPr>
        <w:numId w:val="12"/>
      </w:numPr>
      <w:tabs>
        <w:tab w:val="clear" w:pos="2835"/>
        <w:tab w:val="num" w:pos="1800"/>
      </w:tabs>
      <w:ind w:left="0" w:firstLine="0"/>
    </w:pPr>
  </w:style>
  <w:style w:type="character" w:customStyle="1" w:styleId="Marker">
    <w:name w:val="Marker"/>
    <w:basedOn w:val="DefaultParagraphFont"/>
    <w:rsid w:val="00C55BB5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55BB5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55BB5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55BB5"/>
    <w:pPr>
      <w:numPr>
        <w:numId w:val="22"/>
      </w:numPr>
      <w:tabs>
        <w:tab w:val="clear" w:pos="567"/>
        <w:tab w:val="num" w:pos="180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C55BB5"/>
    <w:pPr>
      <w:numPr>
        <w:numId w:val="21"/>
      </w:numPr>
      <w:tabs>
        <w:tab w:val="clear" w:pos="567"/>
        <w:tab w:val="num" w:pos="180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C55BB5"/>
    <w:pPr>
      <w:numPr>
        <w:numId w:val="20"/>
      </w:numPr>
      <w:tabs>
        <w:tab w:val="clear" w:pos="567"/>
        <w:tab w:val="num" w:pos="144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C55BB5"/>
    <w:pPr>
      <w:jc w:val="center"/>
    </w:pPr>
  </w:style>
  <w:style w:type="paragraph" w:customStyle="1" w:styleId="Jardin">
    <w:name w:val="Jardin"/>
    <w:basedOn w:val="Normal"/>
    <w:rsid w:val="00C55BB5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55BB5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55BB5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55BB5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55BB5"/>
    <w:rPr>
      <w:b/>
    </w:rPr>
  </w:style>
  <w:style w:type="paragraph" w:customStyle="1" w:styleId="Annex">
    <w:name w:val="Annex"/>
    <w:basedOn w:val="Normal"/>
    <w:next w:val="Normal"/>
    <w:rsid w:val="00C55BB5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55BB5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55BB5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55BB5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55BB5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C55BB5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55BB5"/>
    <w:rPr>
      <w:rFonts w:eastAsia="Calibri"/>
      <w:lang w:val="et-EE" w:eastAsia="en-US"/>
    </w:rPr>
  </w:style>
  <w:style w:type="character" w:styleId="EndnoteReference">
    <w:name w:val="endnote reference"/>
    <w:basedOn w:val="DefaultParagraphFont"/>
    <w:uiPriority w:val="99"/>
    <w:unhideWhenUsed/>
    <w:rsid w:val="00C55BB5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C55BB5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C55BB5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55B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55BB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C55BB5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C55BB5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C55BB5"/>
    <w:pPr>
      <w:spacing w:line="216" w:lineRule="auto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C55BB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55BB5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SubjectTable">
    <w:name w:val="TBSubjectTable"/>
    <w:basedOn w:val="TechnicalBlockBase"/>
    <w:rsid w:val="00C55B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C55BB5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C55BB5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55BB5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55BB5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t-EE" w:eastAsia="fr-BE"/>
    </w:rPr>
  </w:style>
  <w:style w:type="paragraph" w:customStyle="1" w:styleId="HeaderCouncilLarge">
    <w:name w:val="Header Council Large"/>
    <w:basedOn w:val="Normal"/>
    <w:link w:val="HeaderCouncilLargeChar"/>
    <w:rsid w:val="00C55BB5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C55BB5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et-E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C55BB5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et-EE" w:eastAsia="fr-BE"/>
    </w:rPr>
  </w:style>
  <w:style w:type="paragraph" w:customStyle="1" w:styleId="FooterText">
    <w:name w:val="Footer Text"/>
    <w:basedOn w:val="Normal"/>
    <w:rsid w:val="00C55BB5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55BB5"/>
    <w:rPr>
      <w:color w:val="808080"/>
    </w:rPr>
  </w:style>
  <w:style w:type="character" w:customStyle="1" w:styleId="EntReferChar">
    <w:name w:val="EntRefer Char"/>
    <w:basedOn w:val="DefaultParagraphFont"/>
    <w:link w:val="TBEntRefer"/>
    <w:rsid w:val="00C55BB5"/>
    <w:rPr>
      <w:rFonts w:ascii="Arial" w:hAnsi="Arial" w:cs="Arial"/>
      <w:b/>
      <w:sz w:val="23"/>
      <w:u w:color="606060"/>
      <w:lang w:val="et-EE" w:eastAsia="fr-BE"/>
    </w:rPr>
  </w:style>
  <w:style w:type="paragraph" w:customStyle="1" w:styleId="TBDistrbMarkers">
    <w:name w:val="TBDistrbMarkers"/>
    <w:basedOn w:val="TBEntRefer"/>
    <w:qFormat/>
    <w:rsid w:val="00C55BB5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C55BB5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C55BB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C55BB5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C55BB5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C55BB5"/>
    <w:rPr>
      <w:rFonts w:ascii="Times New Roman" w:hAnsi="Times New Roman" w:cs="Times New Roman"/>
      <w:sz w:val="24"/>
      <w:lang w:val="et-EE"/>
    </w:rPr>
  </w:style>
  <w:style w:type="paragraph" w:customStyle="1" w:styleId="title-bold">
    <w:name w:val="title-bold"/>
    <w:basedOn w:val="Normal"/>
    <w:rsid w:val="00C55BB5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C55BB5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C55BB5"/>
    <w:rPr>
      <w:i/>
      <w:iCs/>
    </w:rPr>
  </w:style>
  <w:style w:type="paragraph" w:customStyle="1" w:styleId="Manual">
    <w:name w:val="Manual"/>
    <w:basedOn w:val="Normal"/>
    <w:rsid w:val="00C55BB5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C55BB5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C55B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C55B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55BB5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C55BB5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55BB5"/>
    <w:pPr>
      <w:widowControl/>
      <w:numPr>
        <w:numId w:val="23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55BB5"/>
    <w:pPr>
      <w:widowControl/>
      <w:numPr>
        <w:numId w:val="24"/>
      </w:numPr>
      <w:tabs>
        <w:tab w:val="clear" w:pos="3685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55BB5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C55BB5"/>
    <w:pPr>
      <w:widowControl/>
      <w:numPr>
        <w:numId w:val="25"/>
      </w:numPr>
      <w:tabs>
        <w:tab w:val="clear" w:pos="850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55B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55BB5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55B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55BB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55BB5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55BB5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55BB5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55BB5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55B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55B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55B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55B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55BB5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55BB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55BB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55BB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55BB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55BB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55B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55B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55B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C55BB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55BB5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55B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55B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55B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55BB5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C55BB5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C55B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55BB5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55BB5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C55BB5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C55BB5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C55BB5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55BB5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C55B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C55BB5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55BB5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55BB5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C55BB5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55BB5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C55BB5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C55BB5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55BB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55BB5"/>
    <w:pPr>
      <w:spacing w:after="240"/>
    </w:pPr>
  </w:style>
  <w:style w:type="paragraph" w:customStyle="1" w:styleId="Lignefinal">
    <w:name w:val="Ligne final"/>
    <w:basedOn w:val="Normal"/>
    <w:next w:val="Normal"/>
    <w:rsid w:val="00C55BB5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C55BB5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55BB5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C55BB5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55B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55B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55BB5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C55BB5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55BB5"/>
    <w:pPr>
      <w:widowControl/>
      <w:numPr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55BB5"/>
    <w:pPr>
      <w:widowControl/>
      <w:numPr>
        <w:ilvl w:val="1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55BB5"/>
    <w:pPr>
      <w:widowControl/>
      <w:numPr>
        <w:ilvl w:val="2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55BB5"/>
    <w:pPr>
      <w:widowControl/>
      <w:numPr>
        <w:ilvl w:val="3"/>
        <w:numId w:val="26"/>
      </w:numPr>
      <w:tabs>
        <w:tab w:val="clear" w:pos="850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55BB5"/>
    <w:pPr>
      <w:widowControl/>
      <w:numPr>
        <w:ilvl w:val="4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55BB5"/>
    <w:pPr>
      <w:widowControl/>
      <w:numPr>
        <w:ilvl w:val="5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55BB5"/>
    <w:pPr>
      <w:widowControl/>
      <w:numPr>
        <w:ilvl w:val="6"/>
        <w:numId w:val="26"/>
      </w:numPr>
      <w:tabs>
        <w:tab w:val="left" w:pos="1417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55BB5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55BB5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C55BB5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55BB5"/>
    <w:pPr>
      <w:widowControl/>
      <w:numPr>
        <w:ilvl w:val="1"/>
        <w:numId w:val="27"/>
      </w:numPr>
      <w:tabs>
        <w:tab w:val="clear" w:pos="85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C55BB5"/>
    <w:pPr>
      <w:widowControl/>
      <w:numPr>
        <w:numId w:val="27"/>
      </w:numPr>
      <w:tabs>
        <w:tab w:val="clear" w:pos="850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55B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C55BB5"/>
    <w:pPr>
      <w:widowControl/>
      <w:numPr>
        <w:ilvl w:val="3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55BB5"/>
    <w:pPr>
      <w:widowControl/>
      <w:numPr>
        <w:ilvl w:val="2"/>
        <w:numId w:val="27"/>
      </w:numPr>
      <w:tabs>
        <w:tab w:val="clear" w:pos="1417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55BB5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55BB5"/>
    <w:pPr>
      <w:widowControl/>
      <w:numPr>
        <w:ilvl w:val="5"/>
        <w:numId w:val="27"/>
      </w:numPr>
      <w:tabs>
        <w:tab w:val="clear" w:pos="198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55BB5"/>
    <w:pPr>
      <w:widowControl/>
      <w:numPr>
        <w:ilvl w:val="4"/>
        <w:numId w:val="27"/>
      </w:numPr>
      <w:tabs>
        <w:tab w:val="clear" w:pos="1984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55BB5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55BB5"/>
    <w:pPr>
      <w:widowControl/>
      <w:numPr>
        <w:ilvl w:val="7"/>
        <w:numId w:val="27"/>
      </w:numPr>
      <w:tabs>
        <w:tab w:val="clear" w:pos="255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55BB5"/>
    <w:pPr>
      <w:widowControl/>
      <w:numPr>
        <w:ilvl w:val="6"/>
        <w:numId w:val="27"/>
      </w:numPr>
      <w:tabs>
        <w:tab w:val="clear" w:pos="2551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55BB5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55BB5"/>
    <w:pPr>
      <w:widowControl/>
      <w:numPr>
        <w:ilvl w:val="8"/>
        <w:numId w:val="27"/>
      </w:numPr>
      <w:tabs>
        <w:tab w:val="clear" w:pos="311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55BB5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C55BB5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55BB5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55BB5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55BB5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55BB5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55BB5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55BB5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55BB5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55BB5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55BB5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55BB5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55BB5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55BB5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55BB5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C55BB5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55BB5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C55BB5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C55BB5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55BB5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C55BB5"/>
    <w:pPr>
      <w:widowControl/>
      <w:numPr>
        <w:numId w:val="28"/>
      </w:numPr>
      <w:tabs>
        <w:tab w:val="clear" w:pos="850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C55BB5"/>
    <w:pPr>
      <w:widowControl/>
      <w:numPr>
        <w:numId w:val="29"/>
      </w:numPr>
      <w:tabs>
        <w:tab w:val="clear" w:pos="1417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C55BB5"/>
    <w:pPr>
      <w:widowControl/>
      <w:numPr>
        <w:numId w:val="30"/>
      </w:numPr>
      <w:tabs>
        <w:tab w:val="clear" w:pos="1984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C55BB5"/>
    <w:pPr>
      <w:widowControl/>
      <w:numPr>
        <w:numId w:val="31"/>
      </w:numPr>
      <w:tabs>
        <w:tab w:val="clear" w:pos="2551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C55BB5"/>
    <w:pPr>
      <w:widowControl/>
      <w:numPr>
        <w:numId w:val="32"/>
      </w:numPr>
      <w:tabs>
        <w:tab w:val="clear" w:pos="3118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C55BB5"/>
    <w:pPr>
      <w:widowControl/>
      <w:numPr>
        <w:numId w:val="33"/>
      </w:numPr>
      <w:tabs>
        <w:tab w:val="clear" w:pos="3685"/>
        <w:tab w:val="num" w:pos="1134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55BB5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55BB5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C55BB5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C55BB5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C55BB5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C55BB5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C55BB5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55BB5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55BB5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55BB5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55BB5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55BB5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55BB5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55BB5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55BB5"/>
    <w:pPr>
      <w:widowControl/>
      <w:numPr>
        <w:numId w:val="34"/>
      </w:numPr>
      <w:tabs>
        <w:tab w:val="clear" w:pos="4252"/>
        <w:tab w:val="num" w:pos="1701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55BB5"/>
    <w:pPr>
      <w:widowControl/>
      <w:numPr>
        <w:numId w:val="35"/>
      </w:numPr>
      <w:tabs>
        <w:tab w:val="clear" w:pos="4819"/>
        <w:tab w:val="num" w:pos="2268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55BB5"/>
    <w:pPr>
      <w:widowControl/>
      <w:numPr>
        <w:numId w:val="36"/>
      </w:numPr>
      <w:tabs>
        <w:tab w:val="clear" w:pos="5386"/>
        <w:tab w:val="num" w:pos="2835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55BB5"/>
    <w:pPr>
      <w:widowControl/>
      <w:numPr>
        <w:numId w:val="37"/>
      </w:numPr>
      <w:tabs>
        <w:tab w:val="clear" w:pos="4252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55BB5"/>
    <w:pPr>
      <w:widowControl/>
      <w:numPr>
        <w:numId w:val="38"/>
      </w:numPr>
      <w:tabs>
        <w:tab w:val="clear" w:pos="4819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55BB5"/>
    <w:pPr>
      <w:widowControl/>
      <w:numPr>
        <w:numId w:val="39"/>
      </w:numPr>
      <w:tabs>
        <w:tab w:val="clear" w:pos="5386"/>
        <w:tab w:val="num" w:pos="567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55BB5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t-EE" w:eastAsia="en-US"/>
    </w:rPr>
  </w:style>
  <w:style w:type="paragraph" w:customStyle="1" w:styleId="CommentFwdQuotedText">
    <w:name w:val="CommentFwdQuotedText"/>
    <w:basedOn w:val="Normal"/>
    <w:rsid w:val="00C55BB5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55BB5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C55BB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BB5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55BB5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55BB5"/>
    <w:pPr>
      <w:contextualSpacing/>
    </w:pPr>
    <w:rPr>
      <w:rFonts w:ascii="Cambria" w:hAnsi="Cambria"/>
      <w:spacing w:val="-10"/>
      <w:kern w:val="28"/>
      <w:sz w:val="56"/>
      <w:szCs w:val="56"/>
      <w:lang w:val="fr-CA"/>
    </w:rPr>
  </w:style>
  <w:style w:type="character" w:customStyle="1" w:styleId="TitleChar1">
    <w:name w:val="Title Char1"/>
    <w:basedOn w:val="DefaultParagraphFont"/>
    <w:rsid w:val="00C55BB5"/>
    <w:rPr>
      <w:rFonts w:asciiTheme="majorHAnsi" w:eastAsiaTheme="majorEastAsia" w:hAnsiTheme="majorHAnsi" w:cstheme="majorBidi"/>
      <w:spacing w:val="-10"/>
      <w:kern w:val="28"/>
      <w:sz w:val="56"/>
      <w:szCs w:val="56"/>
      <w:lang w:val="et-E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BB5"/>
    <w:pPr>
      <w:numPr>
        <w:ilvl w:val="1"/>
      </w:numPr>
      <w:spacing w:after="160"/>
    </w:pPr>
    <w:rPr>
      <w:color w:val="595959"/>
      <w:spacing w:val="15"/>
      <w:sz w:val="28"/>
      <w:szCs w:val="28"/>
      <w:lang w:val="fr-CA"/>
    </w:rPr>
  </w:style>
  <w:style w:type="character" w:customStyle="1" w:styleId="SubtitleChar1">
    <w:name w:val="Subtitle Char1"/>
    <w:basedOn w:val="DefaultParagraphFont"/>
    <w:rsid w:val="00C55BB5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t-EE"/>
    </w:rPr>
  </w:style>
  <w:style w:type="paragraph" w:styleId="Quote">
    <w:name w:val="Quote"/>
    <w:basedOn w:val="Normal"/>
    <w:next w:val="Normal"/>
    <w:link w:val="QuoteChar"/>
    <w:uiPriority w:val="29"/>
    <w:qFormat/>
    <w:rsid w:val="00C55BB5"/>
    <w:pPr>
      <w:spacing w:before="200" w:after="160"/>
      <w:ind w:left="864" w:right="864"/>
      <w:jc w:val="center"/>
    </w:pPr>
    <w:rPr>
      <w:i/>
      <w:iCs/>
      <w:color w:val="404040"/>
      <w:lang w:val="fr-CA"/>
    </w:rPr>
  </w:style>
  <w:style w:type="character" w:customStyle="1" w:styleId="QuoteChar1">
    <w:name w:val="Quote Char1"/>
    <w:basedOn w:val="DefaultParagraphFont"/>
    <w:uiPriority w:val="29"/>
    <w:rsid w:val="00C55BB5"/>
    <w:rPr>
      <w:i/>
      <w:iCs/>
      <w:color w:val="404040" w:themeColor="text1" w:themeTint="BF"/>
      <w:sz w:val="24"/>
      <w:lang w:val="et-EE"/>
    </w:rPr>
  </w:style>
  <w:style w:type="character" w:styleId="IntenseEmphasis">
    <w:name w:val="Intense Emphasis"/>
    <w:basedOn w:val="DefaultParagraphFont"/>
    <w:uiPriority w:val="21"/>
    <w:qFormat/>
    <w:rsid w:val="00C55BB5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BB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lang w:val="fr-CA"/>
    </w:rPr>
  </w:style>
  <w:style w:type="character" w:customStyle="1" w:styleId="IntenseQuoteChar1">
    <w:name w:val="Intense Quote Char1"/>
    <w:basedOn w:val="DefaultParagraphFont"/>
    <w:uiPriority w:val="30"/>
    <w:rsid w:val="00C55BB5"/>
    <w:rPr>
      <w:i/>
      <w:iCs/>
      <w:color w:val="5B9BD5" w:themeColor="accent1"/>
      <w:sz w:val="24"/>
      <w:lang w:val="et-EE"/>
    </w:rPr>
  </w:style>
  <w:style w:type="character" w:styleId="IntenseReference">
    <w:name w:val="Intense Reference"/>
    <w:basedOn w:val="DefaultParagraphFont"/>
    <w:uiPriority w:val="32"/>
    <w:qFormat/>
    <w:rsid w:val="00C55BB5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C55B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2026-05-12T09:02:00Z</dcterms:created>
  <dcterms:modified xsi:type="dcterms:W3CDTF">2026-05-12T09:02:00Z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