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1A39" w14:paraId="702609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A8654A" w14:textId="77777777" w:rsidR="00751A4A" w:rsidRPr="00BB1A39" w:rsidRDefault="0060123E" w:rsidP="0010095E">
            <w:pPr>
              <w:pStyle w:val="EPName"/>
            </w:pPr>
            <w:r w:rsidRPr="00BB1A39">
              <w:t>Parlement européen</w:t>
            </w:r>
          </w:p>
          <w:p w14:paraId="1942828E" w14:textId="77777777" w:rsidR="00751A4A" w:rsidRPr="00BB1A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1A39">
              <w:t>2024</w:t>
            </w:r>
            <w:r w:rsidR="00817416" w:rsidRPr="00BB1A39">
              <w:t>-202</w:t>
            </w:r>
            <w:r w:rsidRPr="00BB1A39">
              <w:t>9</w:t>
            </w:r>
          </w:p>
        </w:tc>
        <w:tc>
          <w:tcPr>
            <w:tcW w:w="2268" w:type="dxa"/>
            <w:shd w:val="clear" w:color="auto" w:fill="auto"/>
          </w:tcPr>
          <w:p w14:paraId="27973DAE" w14:textId="77777777" w:rsidR="00751A4A" w:rsidRPr="00BB1A39" w:rsidRDefault="00187494" w:rsidP="0010095E">
            <w:pPr>
              <w:pStyle w:val="EPLogo"/>
            </w:pPr>
            <w:r w:rsidRPr="00BB1A39">
              <w:rPr>
                <w:noProof/>
                <w:lang w:eastAsia="ja-JP"/>
              </w:rPr>
              <w:drawing>
                <wp:inline distT="0" distB="0" distL="0" distR="0" wp14:anchorId="27D29511" wp14:editId="54AD6F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B97DC" w14:textId="77777777" w:rsidR="00D058B8" w:rsidRPr="00BB1A39" w:rsidRDefault="00D058B8" w:rsidP="004C5D52">
      <w:pPr>
        <w:pStyle w:val="LineTop"/>
      </w:pPr>
    </w:p>
    <w:p w14:paraId="350DCC3B" w14:textId="77777777" w:rsidR="00680577" w:rsidRPr="00BB1A39" w:rsidRDefault="0060123E" w:rsidP="00680577">
      <w:pPr>
        <w:pStyle w:val="EPBodyTA1"/>
      </w:pPr>
      <w:r w:rsidRPr="00BB1A39">
        <w:t>TEXTES ADOPTÉS</w:t>
      </w:r>
    </w:p>
    <w:p w14:paraId="6D60D044" w14:textId="77777777" w:rsidR="00D058B8" w:rsidRPr="00BB1A39" w:rsidRDefault="00D058B8" w:rsidP="00D058B8">
      <w:pPr>
        <w:pStyle w:val="LineBottom"/>
      </w:pPr>
    </w:p>
    <w:p w14:paraId="3622C2EE" w14:textId="3EE31D0C" w:rsidR="0060123E" w:rsidRPr="00BB1A39" w:rsidRDefault="0060123E" w:rsidP="0060123E">
      <w:pPr>
        <w:pStyle w:val="ATHeading1"/>
      </w:pPr>
      <w:bookmarkStart w:id="0" w:name="TANumber"/>
      <w:r w:rsidRPr="00BB1A39">
        <w:t>P</w:t>
      </w:r>
      <w:r w:rsidR="00ED6C3A">
        <w:t>10</w:t>
      </w:r>
      <w:r w:rsidRPr="00BB1A39">
        <w:t>_TA(2026)00</w:t>
      </w:r>
      <w:r w:rsidR="00F06127">
        <w:t>94</w:t>
      </w:r>
      <w:bookmarkEnd w:id="0"/>
    </w:p>
    <w:p w14:paraId="6E9CF29C" w14:textId="2DE169A9" w:rsidR="0060123E" w:rsidRPr="00BB1A39" w:rsidRDefault="00126E8B" w:rsidP="0060123E">
      <w:pPr>
        <w:pStyle w:val="ATHeading2"/>
      </w:pPr>
      <w:bookmarkStart w:id="1" w:name="title"/>
      <w:r w:rsidRPr="00126E8B">
        <w:t>Lutte contre la corruption</w:t>
      </w:r>
      <w:bookmarkEnd w:id="1"/>
    </w:p>
    <w:p w14:paraId="161435D2" w14:textId="33F07B8C" w:rsidR="0060123E" w:rsidRPr="00BB1A39" w:rsidRDefault="0060123E" w:rsidP="0060123E">
      <w:pPr>
        <w:rPr>
          <w:i/>
          <w:vanish/>
        </w:rPr>
      </w:pPr>
      <w:r w:rsidRPr="00BB1A39">
        <w:rPr>
          <w:i/>
        </w:rPr>
        <w:fldChar w:fldCharType="begin"/>
      </w:r>
      <w:r w:rsidRPr="00BB1A39">
        <w:rPr>
          <w:i/>
        </w:rPr>
        <w:instrText xml:space="preserve"> TC"(</w:instrText>
      </w:r>
      <w:bookmarkStart w:id="2" w:name="DocNumber"/>
      <w:r w:rsidRPr="00BB1A39">
        <w:rPr>
          <w:i/>
        </w:rPr>
        <w:instrText>A9-0048/2024</w:instrText>
      </w:r>
      <w:bookmarkEnd w:id="2"/>
      <w:r w:rsidRPr="00BB1A39">
        <w:rPr>
          <w:i/>
        </w:rPr>
        <w:instrText xml:space="preserve"> - </w:instrText>
      </w:r>
      <w:proofErr w:type="spellStart"/>
      <w:r w:rsidRPr="00BB1A39">
        <w:rPr>
          <w:i/>
        </w:rPr>
        <w:instrText>Rapporteure</w:instrText>
      </w:r>
      <w:proofErr w:type="spellEnd"/>
      <w:r w:rsidRPr="00BB1A39">
        <w:rPr>
          <w:i/>
        </w:rPr>
        <w:instrText xml:space="preserve">: </w:instrText>
      </w:r>
      <w:r w:rsidR="00126E8B" w:rsidRPr="00126E8B">
        <w:rPr>
          <w:i/>
        </w:rPr>
        <w:instrText xml:space="preserve">Raquel García </w:instrText>
      </w:r>
      <w:proofErr w:type="spellStart"/>
      <w:r w:rsidR="00126E8B" w:rsidRPr="00126E8B">
        <w:rPr>
          <w:i/>
        </w:rPr>
        <w:instrText>Hermida</w:instrText>
      </w:r>
      <w:proofErr w:type="spellEnd"/>
      <w:r w:rsidR="00126E8B" w:rsidRPr="00126E8B">
        <w:rPr>
          <w:i/>
        </w:rPr>
        <w:instrText xml:space="preserve">-Van Der </w:instrText>
      </w:r>
      <w:proofErr w:type="spellStart"/>
      <w:r w:rsidR="00126E8B" w:rsidRPr="00126E8B">
        <w:rPr>
          <w:i/>
        </w:rPr>
        <w:instrText>Walle</w:instrText>
      </w:r>
      <w:proofErr w:type="spellEnd"/>
      <w:r w:rsidRPr="00BB1A39">
        <w:rPr>
          <w:i/>
        </w:rPr>
        <w:instrText xml:space="preserve">)"\l3 \n&gt; \* MERGEFORMAT </w:instrText>
      </w:r>
      <w:r w:rsidRPr="00BB1A39">
        <w:rPr>
          <w:i/>
        </w:rPr>
        <w:fldChar w:fldCharType="end"/>
      </w:r>
    </w:p>
    <w:p w14:paraId="2061898A" w14:textId="77777777" w:rsidR="0060123E" w:rsidRPr="00BB1A39" w:rsidRDefault="0060123E" w:rsidP="0060123E">
      <w:pPr>
        <w:rPr>
          <w:vanish/>
        </w:rPr>
      </w:pPr>
      <w:bookmarkStart w:id="3" w:name="Commission"/>
      <w:r w:rsidRPr="00BB1A39">
        <w:rPr>
          <w:vanish/>
        </w:rPr>
        <w:t>Commission des libertés civiles, de la justice et des affaires intérieures</w:t>
      </w:r>
      <w:bookmarkEnd w:id="3"/>
    </w:p>
    <w:p w14:paraId="58E63B36" w14:textId="77777777" w:rsidR="0060123E" w:rsidRPr="00BB1A39" w:rsidRDefault="0060123E" w:rsidP="0060123E">
      <w:pPr>
        <w:rPr>
          <w:vanish/>
        </w:rPr>
      </w:pPr>
      <w:bookmarkStart w:id="4" w:name="PE"/>
      <w:r w:rsidRPr="00BB1A39">
        <w:rPr>
          <w:vanish/>
        </w:rPr>
        <w:t>PE753.573</w:t>
      </w:r>
      <w:bookmarkEnd w:id="4"/>
    </w:p>
    <w:p w14:paraId="137A7CC8" w14:textId="5A0E9127" w:rsidR="0060123E" w:rsidRPr="00BB1A39" w:rsidRDefault="0060123E" w:rsidP="0060123E">
      <w:pPr>
        <w:pStyle w:val="ATHeading3"/>
      </w:pPr>
      <w:bookmarkStart w:id="5" w:name="Sujet"/>
      <w:r w:rsidRPr="00BB1A39">
        <w:t xml:space="preserve">Résolution législative du Parlement européen du </w:t>
      </w:r>
      <w:r w:rsidR="00126E8B">
        <w:t>26 mars</w:t>
      </w:r>
      <w:r w:rsidRPr="00BB1A39">
        <w:t xml:space="preserve"> 2026 sur la proposition de directive du Parlement européen et du Conseil relative à la lutte contre la corruption, remplaçant la décision-cadre 2003/568/JAI du Conseil et la convention relative à la lutte contre la corruption impliquant des fonctionnaires des Communautés européennes ou des fonctionnaires des États membres de l’Union européenne, et modifiant la directive (UE) 2017/1371 du Parlement européen et du Conseil</w:t>
      </w:r>
      <w:bookmarkEnd w:id="5"/>
      <w:r w:rsidRPr="00BB1A39">
        <w:t xml:space="preserve"> </w:t>
      </w:r>
      <w:bookmarkStart w:id="6" w:name="References"/>
      <w:r w:rsidRPr="00BB1A39">
        <w:t>(COM(2023)0234 – C9-0162/2023 – 2023/0135(COD))</w:t>
      </w:r>
      <w:bookmarkEnd w:id="6"/>
    </w:p>
    <w:p w14:paraId="09422235" w14:textId="77777777" w:rsidR="006D7121" w:rsidRPr="00BB1A39" w:rsidRDefault="006D7121" w:rsidP="006D7121">
      <w:pPr>
        <w:pStyle w:val="NormalBold"/>
      </w:pPr>
      <w:r w:rsidRPr="00BB1A39">
        <w:t>(Procédure législative ordinaire: première lecture)</w:t>
      </w:r>
    </w:p>
    <w:p w14:paraId="4926FB48" w14:textId="77777777" w:rsidR="006D7121" w:rsidRPr="00BB1A39" w:rsidRDefault="006D7121" w:rsidP="006D7121">
      <w:pPr>
        <w:pStyle w:val="EPComma"/>
      </w:pPr>
      <w:r w:rsidRPr="00BB1A39">
        <w:rPr>
          <w:i/>
        </w:rPr>
        <w:t>Le Parlement européen</w:t>
      </w:r>
      <w:r w:rsidRPr="00BB1A39">
        <w:t>,</w:t>
      </w:r>
    </w:p>
    <w:p w14:paraId="7782E38D" w14:textId="3B3DC853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 xml:space="preserve">vu la proposition de la Commission au Parlement européen et au Conseil </w:t>
      </w:r>
      <w:r w:rsidR="00126E8B">
        <w:t>(</w:t>
      </w:r>
      <w:r w:rsidRPr="00BB1A39">
        <w:t>COM(2023)0234</w:t>
      </w:r>
      <w:r w:rsidR="00126E8B">
        <w:t>)</w:t>
      </w:r>
      <w:r w:rsidRPr="00BB1A39">
        <w:t>,</w:t>
      </w:r>
    </w:p>
    <w:p w14:paraId="736095BA" w14:textId="781A2BF1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 xml:space="preserve">vu l’article 294, paragraphe 2, </w:t>
      </w:r>
      <w:r w:rsidR="009D674B">
        <w:t xml:space="preserve">ainsi que </w:t>
      </w:r>
      <w:r w:rsidRPr="00BB1A39">
        <w:t>l’article 82, paragraphe 1, point d), et l’article 83, paragraphes 1 et 2, du traité sur le fonctionnement de l’Union européenne, conformément auxquels la proposition lui a été présentée par la Commission (C9-0162/2023),</w:t>
      </w:r>
    </w:p>
    <w:p w14:paraId="5B5CE400" w14:textId="77777777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>vu l’article 294, paragraphe 3, du traité sur le fonctionnement de l’Union européenne,</w:t>
      </w:r>
    </w:p>
    <w:p w14:paraId="15A3AF57" w14:textId="77777777" w:rsidR="006D7121" w:rsidRDefault="006D7121" w:rsidP="006D7121">
      <w:pPr>
        <w:pStyle w:val="NormalHanging12a"/>
      </w:pPr>
      <w:r w:rsidRPr="00BB1A39">
        <w:t>–</w:t>
      </w:r>
      <w:r w:rsidRPr="00BB1A39">
        <w:tab/>
      </w:r>
      <w:r w:rsidRPr="00126E8B">
        <w:t>vu les avis motivés soumis par le Parlement suédois et la Chambre des députés italienne, dans le</w:t>
      </w:r>
      <w:r w:rsidRPr="00BB1A39">
        <w:t xml:space="preserve"> cadre du protocole n° 2 sur l’application des principes de subsidiarité et de proportionnalité, déclarant que le projet d’acte législatif n’est pas conforme au principe de subsidiarité,</w:t>
      </w:r>
    </w:p>
    <w:p w14:paraId="486128DB" w14:textId="13957D52" w:rsidR="00126E8B" w:rsidRDefault="00126E8B" w:rsidP="006D7121">
      <w:pPr>
        <w:pStyle w:val="NormalHanging12a"/>
      </w:pPr>
      <w:r w:rsidRPr="00545AFB">
        <w:t>–</w:t>
      </w:r>
      <w:r w:rsidRPr="00545AFB">
        <w:tab/>
        <w:t xml:space="preserve">vu l’avis </w:t>
      </w:r>
      <w:r>
        <w:t xml:space="preserve">du </w:t>
      </w:r>
      <w:r w:rsidRPr="003C2C3B">
        <w:t xml:space="preserve">Comité </w:t>
      </w:r>
      <w:r w:rsidRPr="006A46EF">
        <w:t>économique et social européen</w:t>
      </w:r>
      <w:r w:rsidR="00B713E6">
        <w:t xml:space="preserve"> du 25 octobre 2023</w:t>
      </w:r>
      <w:r>
        <w:rPr>
          <w:rStyle w:val="FootnoteReference"/>
        </w:rPr>
        <w:footnoteReference w:id="1"/>
      </w:r>
      <w:r>
        <w:t>,</w:t>
      </w:r>
    </w:p>
    <w:p w14:paraId="42996A66" w14:textId="7FBEBE37" w:rsidR="00126E8B" w:rsidRPr="00BB1A39" w:rsidRDefault="00126E8B" w:rsidP="00126E8B">
      <w:pPr>
        <w:pStyle w:val="NormalHanging12a"/>
      </w:pPr>
      <w:r w:rsidRPr="00545AFB">
        <w:t>–</w:t>
      </w:r>
      <w:r w:rsidRPr="00545AFB">
        <w:tab/>
        <w:t xml:space="preserve">vu l’avis </w:t>
      </w:r>
      <w:r>
        <w:t xml:space="preserve">du </w:t>
      </w:r>
      <w:r w:rsidRPr="003C2C3B">
        <w:t xml:space="preserve">Comité </w:t>
      </w:r>
      <w:r>
        <w:t>des régions</w:t>
      </w:r>
      <w:r w:rsidR="00B713E6">
        <w:t xml:space="preserve"> du 29 novembre 2023</w:t>
      </w:r>
      <w:r>
        <w:rPr>
          <w:rStyle w:val="FootnoteReference"/>
        </w:rPr>
        <w:footnoteReference w:id="2"/>
      </w:r>
      <w:r>
        <w:t>,</w:t>
      </w:r>
    </w:p>
    <w:p w14:paraId="5181879E" w14:textId="709C1B26" w:rsidR="00126E8B" w:rsidRPr="00BB1A39" w:rsidRDefault="00126E8B" w:rsidP="009B0802">
      <w:pPr>
        <w:spacing w:after="240"/>
        <w:ind w:left="567" w:hanging="567"/>
      </w:pPr>
      <w:bookmarkStart w:id="7" w:name="_Hlk208304882"/>
      <w:r w:rsidRPr="0070765D">
        <w:lastRenderedPageBreak/>
        <w:t>–</w:t>
      </w:r>
      <w:r w:rsidRPr="0070765D">
        <w:tab/>
        <w:t xml:space="preserve">vu l’accord provisoire approuvé en vertu de l’article 75, paragraphe 4, de son règlement intérieur </w:t>
      </w:r>
      <w:r w:rsidRPr="00126E8B">
        <w:t xml:space="preserve">par </w:t>
      </w:r>
      <w:r w:rsidRPr="009B0802">
        <w:t>la commission compétente</w:t>
      </w:r>
      <w:r w:rsidRPr="00126E8B">
        <w:t xml:space="preserve"> et l’engagement pris par le représentant du Conseil, par lettre du 10 décembre 2025, d’approuver la </w:t>
      </w:r>
      <w:r w:rsidRPr="009B0802">
        <w:t>position du Parlement européen</w:t>
      </w:r>
      <w:r w:rsidRPr="00126E8B">
        <w:t>, conformément à l’article 294, paragraphe 4, du traité sur le fonctionnement de l’Union européenne</w:t>
      </w:r>
      <w:r w:rsidRPr="0070765D">
        <w:t>,</w:t>
      </w:r>
      <w:bookmarkEnd w:id="7"/>
    </w:p>
    <w:p w14:paraId="438A6031" w14:textId="63F7FF67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>vu l’article </w:t>
      </w:r>
      <w:r w:rsidR="00E1717D">
        <w:t>60</w:t>
      </w:r>
      <w:r w:rsidRPr="00BB1A39">
        <w:t xml:space="preserve"> de son règlement intérieur,</w:t>
      </w:r>
    </w:p>
    <w:p w14:paraId="2E990B7F" w14:textId="77777777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>vu l’avis de la commission du contrôle budgétaire,</w:t>
      </w:r>
    </w:p>
    <w:p w14:paraId="405ADCDB" w14:textId="77777777" w:rsidR="006D7121" w:rsidRPr="00BB1A39" w:rsidRDefault="006D7121" w:rsidP="006D7121">
      <w:pPr>
        <w:pStyle w:val="NormalHanging12a"/>
      </w:pPr>
      <w:r w:rsidRPr="00BB1A39">
        <w:t>–</w:t>
      </w:r>
      <w:r w:rsidRPr="00BB1A39">
        <w:tab/>
        <w:t>vu le rapport de la commission des libertés civiles, de la justice et des affaires intérieures (A9-0048/2024),</w:t>
      </w:r>
    </w:p>
    <w:p w14:paraId="78D78F9A" w14:textId="77777777" w:rsidR="006D7121" w:rsidRPr="00BB1A39" w:rsidRDefault="006D7121" w:rsidP="006D7121">
      <w:pPr>
        <w:pStyle w:val="NormalHanging12a"/>
      </w:pPr>
      <w:r w:rsidRPr="00BB1A39">
        <w:t>1.</w:t>
      </w:r>
      <w:r w:rsidRPr="00BB1A39">
        <w:tab/>
        <w:t xml:space="preserve">arrête la position en première lecture figurant ci-après; </w:t>
      </w:r>
    </w:p>
    <w:p w14:paraId="00AD032E" w14:textId="77777777" w:rsidR="006D7121" w:rsidRPr="00BB1A39" w:rsidRDefault="006D7121" w:rsidP="006D7121">
      <w:pPr>
        <w:pStyle w:val="NormalHanging12a"/>
      </w:pPr>
      <w:r w:rsidRPr="00BB1A39">
        <w:t>2.</w:t>
      </w:r>
      <w:r w:rsidRPr="00BB1A39">
        <w:tab/>
        <w:t>demande à la Commission de le saisir à nouveau, si elle remplace, modifie de manière substantielle ou entend modifier de manière substantielle sa proposition;</w:t>
      </w:r>
    </w:p>
    <w:p w14:paraId="085FB57C" w14:textId="77777777" w:rsidR="006D7121" w:rsidRPr="00BB1A39" w:rsidRDefault="006D7121" w:rsidP="006D7121">
      <w:pPr>
        <w:pStyle w:val="NormalHanging12a"/>
      </w:pPr>
      <w:r w:rsidRPr="00BB1A39">
        <w:t>3.</w:t>
      </w:r>
      <w:r w:rsidRPr="00BB1A39">
        <w:tab/>
        <w:t>charge sa Présidente de transmettre la position du Parlement au Conseil, à la Commission ainsi qu’aux parlements nationaux.</w:t>
      </w:r>
    </w:p>
    <w:p w14:paraId="2E352382" w14:textId="77777777" w:rsidR="00E1717D" w:rsidRDefault="00E1717D" w:rsidP="006D7121">
      <w:pPr>
        <w:pStyle w:val="AMNumberTabs0"/>
        <w:keepNext/>
        <w:sectPr w:rsidR="00E1717D" w:rsidSect="00BB1A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32B814" w14:textId="3727D2E3" w:rsidR="009902C1" w:rsidRPr="0070765D" w:rsidRDefault="009902C1" w:rsidP="009902C1">
      <w:pPr>
        <w:spacing w:after="240"/>
        <w:rPr>
          <w:b/>
        </w:rPr>
      </w:pPr>
      <w:bookmarkStart w:id="8" w:name="_Hlk208304733"/>
      <w:r w:rsidRPr="0070765D">
        <w:rPr>
          <w:b/>
        </w:rPr>
        <w:lastRenderedPageBreak/>
        <w:t>P10_TC1-COD(</w:t>
      </w:r>
      <w:r>
        <w:rPr>
          <w:b/>
        </w:rPr>
        <w:t>2023</w:t>
      </w:r>
      <w:r w:rsidRPr="0070765D">
        <w:rPr>
          <w:b/>
        </w:rPr>
        <w:t>)</w:t>
      </w:r>
      <w:r>
        <w:rPr>
          <w:b/>
        </w:rPr>
        <w:t>0135</w:t>
      </w:r>
    </w:p>
    <w:p w14:paraId="4D1DD813" w14:textId="6365F70B" w:rsidR="00283737" w:rsidRPr="00283737" w:rsidRDefault="009902C1" w:rsidP="00283737">
      <w:pPr>
        <w:spacing w:after="240"/>
        <w:rPr>
          <w:rFonts w:eastAsia="Calibri"/>
          <w:b/>
          <w:szCs w:val="22"/>
          <w:lang w:eastAsia="en-US"/>
        </w:rPr>
      </w:pPr>
      <w:r w:rsidRPr="0070765D">
        <w:rPr>
          <w:b/>
        </w:rPr>
        <w:t xml:space="preserve">Position du Parlement européen arrêtée en </w:t>
      </w:r>
      <w:r w:rsidRPr="009902C1">
        <w:rPr>
          <w:b/>
        </w:rPr>
        <w:t xml:space="preserve">première lecture le </w:t>
      </w:r>
      <w:r>
        <w:rPr>
          <w:b/>
        </w:rPr>
        <w:t>26 mars</w:t>
      </w:r>
      <w:r w:rsidRPr="009902C1">
        <w:rPr>
          <w:b/>
        </w:rPr>
        <w:t xml:space="preserve"> 2026 en vue de l’adoption de la directive (UE) 2026/... du Parlement</w:t>
      </w:r>
      <w:r w:rsidRPr="0070765D">
        <w:rPr>
          <w:b/>
        </w:rPr>
        <w:t xml:space="preserve"> européen et du Conseil </w:t>
      </w:r>
      <w:bookmarkStart w:id="9" w:name="DQC_RangeToBeChecked"/>
      <w:bookmarkEnd w:id="8"/>
      <w:r w:rsidRPr="009902C1">
        <w:rPr>
          <w:rFonts w:eastAsia="Calibri"/>
          <w:b/>
          <w:szCs w:val="22"/>
          <w:lang w:eastAsia="en-US"/>
        </w:rPr>
        <w:t xml:space="preserve">relative </w:t>
      </w:r>
      <w:r w:rsidR="00283737" w:rsidRPr="00283737">
        <w:rPr>
          <w:rFonts w:eastAsia="Calibri"/>
          <w:b/>
          <w:szCs w:val="22"/>
          <w:lang w:eastAsia="en-US"/>
        </w:rPr>
        <w:t>à la lutte contre la corruption, remplaçant la décision-cadre 2003/568/JAI du Conseil et la convention relative à la lutte contre la corruption impliquant des fonctionnaires des Communautés européennes ou des fonctionnaires des États membres de l’Union européenne, et modifiant la directive (UE) 2017/1371 du Parlement européen et du Conseil</w:t>
      </w:r>
    </w:p>
    <w:p w14:paraId="391FFAA9" w14:textId="3A46AA12" w:rsidR="00283737" w:rsidRPr="00283737" w:rsidRDefault="00283737" w:rsidP="00283737">
      <w:pPr>
        <w:keepNext/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r w:rsidRPr="00283737">
        <w:rPr>
          <w:rFonts w:eastAsia="Calibri"/>
          <w:i/>
          <w:iCs/>
          <w:szCs w:val="22"/>
          <w:lang w:eastAsia="en-US"/>
        </w:rPr>
        <w:t xml:space="preserve">(Étant donné l'accord intervenu entre le Parlement et le Conseil, la position du Parlement correspond à l'acte législatif final, </w:t>
      </w:r>
      <w:r>
        <w:rPr>
          <w:rFonts w:eastAsia="Calibri"/>
          <w:i/>
          <w:iCs/>
          <w:szCs w:val="22"/>
          <w:lang w:eastAsia="en-US"/>
        </w:rPr>
        <w:t>la</w:t>
      </w:r>
      <w:r w:rsidRPr="00283737">
        <w:rPr>
          <w:rFonts w:eastAsia="Calibri"/>
          <w:i/>
          <w:iCs/>
          <w:szCs w:val="22"/>
          <w:lang w:eastAsia="en-US"/>
        </w:rPr>
        <w:t xml:space="preserve"> directive (UE) 2026/1021.)</w:t>
      </w:r>
    </w:p>
    <w:bookmarkEnd w:id="9"/>
    <w:sectPr w:rsidR="00283737" w:rsidRPr="00283737" w:rsidSect="00BB1A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87E9" w14:textId="77777777" w:rsidR="0060123E" w:rsidRPr="00BB1A39" w:rsidRDefault="0060123E">
      <w:r w:rsidRPr="00BB1A39">
        <w:separator/>
      </w:r>
    </w:p>
  </w:endnote>
  <w:endnote w:type="continuationSeparator" w:id="0">
    <w:p w14:paraId="1D5AAE6A" w14:textId="77777777" w:rsidR="0060123E" w:rsidRPr="00BB1A39" w:rsidRDefault="0060123E">
      <w:r w:rsidRPr="00BB1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62F5" w14:textId="77777777" w:rsidR="00064002" w:rsidRPr="00BB1A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C1EC" w14:textId="77777777" w:rsidR="00064002" w:rsidRPr="00BB1A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F1C21" w14:textId="77777777" w:rsidR="00064002" w:rsidRPr="00BB1A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FB2CD" w14:textId="77777777" w:rsidR="0060123E" w:rsidRPr="00BB1A39" w:rsidRDefault="0060123E">
      <w:r w:rsidRPr="00BB1A39">
        <w:separator/>
      </w:r>
    </w:p>
  </w:footnote>
  <w:footnote w:type="continuationSeparator" w:id="0">
    <w:p w14:paraId="55AE2FF1" w14:textId="77777777" w:rsidR="0060123E" w:rsidRPr="00BB1A39" w:rsidRDefault="0060123E">
      <w:r w:rsidRPr="00BB1A39">
        <w:continuationSeparator/>
      </w:r>
    </w:p>
  </w:footnote>
  <w:footnote w:id="1">
    <w:p w14:paraId="50240380" w14:textId="40A4176B" w:rsidR="00126E8B" w:rsidRPr="009B0802" w:rsidRDefault="00126E8B" w:rsidP="009902C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9B0802">
        <w:rPr>
          <w:lang w:val="fi-FI"/>
        </w:rPr>
        <w:t xml:space="preserve"> </w:t>
      </w:r>
      <w:r w:rsidRPr="009B0802">
        <w:rPr>
          <w:lang w:val="fi-FI"/>
        </w:rPr>
        <w:tab/>
      </w:r>
      <w:r w:rsidRPr="009B0802">
        <w:rPr>
          <w:sz w:val="24"/>
          <w:szCs w:val="24"/>
          <w:lang w:val="fi-FI"/>
        </w:rPr>
        <w:t>J</w:t>
      </w:r>
      <w:r>
        <w:rPr>
          <w:sz w:val="24"/>
          <w:szCs w:val="24"/>
          <w:lang w:val="fi-FI"/>
        </w:rPr>
        <w:t>O</w:t>
      </w:r>
      <w:r w:rsidRPr="009B0802">
        <w:rPr>
          <w:sz w:val="24"/>
          <w:szCs w:val="24"/>
          <w:lang w:val="fi-FI"/>
        </w:rPr>
        <w:t xml:space="preserve"> C, C/2024/886, 6.2.2024, ELI: </w:t>
      </w:r>
      <w:hyperlink r:id="rId1" w:history="1">
        <w:r w:rsidRPr="00283737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9B0802">
        <w:rPr>
          <w:sz w:val="24"/>
          <w:szCs w:val="24"/>
          <w:lang w:val="fi-FI"/>
        </w:rPr>
        <w:t>.</w:t>
      </w:r>
    </w:p>
  </w:footnote>
  <w:footnote w:id="2">
    <w:p w14:paraId="4071DA20" w14:textId="769A0C31" w:rsidR="00126E8B" w:rsidRPr="009B0802" w:rsidRDefault="00126E8B" w:rsidP="009902C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9B0802">
        <w:rPr>
          <w:lang w:val="fi-FI"/>
        </w:rPr>
        <w:t xml:space="preserve"> </w:t>
      </w:r>
      <w:r w:rsidRPr="009B0802">
        <w:rPr>
          <w:lang w:val="fi-FI"/>
        </w:rPr>
        <w:tab/>
      </w:r>
      <w:r w:rsidRPr="009B0802">
        <w:rPr>
          <w:sz w:val="24"/>
          <w:szCs w:val="24"/>
          <w:lang w:val="fi-FI"/>
        </w:rPr>
        <w:t>J</w:t>
      </w:r>
      <w:r>
        <w:rPr>
          <w:sz w:val="24"/>
          <w:szCs w:val="24"/>
          <w:lang w:val="fi-FI"/>
        </w:rPr>
        <w:t>O</w:t>
      </w:r>
      <w:r w:rsidRPr="009B0802">
        <w:rPr>
          <w:sz w:val="24"/>
          <w:szCs w:val="24"/>
          <w:lang w:val="fi-FI"/>
        </w:rPr>
        <w:t xml:space="preserve"> C, C/2024/1048, 9.2.2024, ELI: </w:t>
      </w:r>
      <w:hyperlink r:id="rId2" w:history="1">
        <w:r w:rsidRPr="00283737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9B0802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E0895" w14:textId="77777777" w:rsidR="00064002" w:rsidRPr="00BB1A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49C4" w14:textId="77777777" w:rsidR="00064002" w:rsidRPr="00BB1A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9916" w14:textId="77777777" w:rsidR="00064002" w:rsidRPr="00BB1A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39794387">
    <w:abstractNumId w:val="2"/>
  </w:num>
  <w:num w:numId="2" w16cid:durableId="1935626670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FR"/>
    <w:docVar w:name="dvnumam" w:val="251"/>
    <w:docVar w:name="dvpe" w:val="753.573"/>
    <w:docVar w:name="dvrapporteur" w:val="Rapporteure: "/>
    <w:docVar w:name="dvstar" w:val="***I"/>
    <w:docVar w:name="dvtitre" w:val="Résolution législative du Parlement européen du ... 2026 sur la proposition de directive du Parlement européen et du Conseil relative à la lutte contre la corruption, remplaçant la décision-cadre 2003/568/JAI du Conseil et la convention relative à la lutte contre la corruption impliquant des fonctionnaires des Communautés européennes ou des fonctionnaires des États membres de l’Union européenne, et modifiant la directive (UE) 2017/1371 du Parlement européen et du Conseil(COM(2023)0234 – C9-0162/2023 – 2023/0135(COD))"/>
  </w:docVars>
  <w:rsids>
    <w:rsidRoot w:val="0060123E"/>
    <w:rsid w:val="00000606"/>
    <w:rsid w:val="00002272"/>
    <w:rsid w:val="00064002"/>
    <w:rsid w:val="00066FCD"/>
    <w:rsid w:val="000677B9"/>
    <w:rsid w:val="000831BA"/>
    <w:rsid w:val="000A42CC"/>
    <w:rsid w:val="000E7DD9"/>
    <w:rsid w:val="0010095E"/>
    <w:rsid w:val="00125B37"/>
    <w:rsid w:val="00126E8B"/>
    <w:rsid w:val="00187494"/>
    <w:rsid w:val="001F32AE"/>
    <w:rsid w:val="002167C2"/>
    <w:rsid w:val="00237393"/>
    <w:rsid w:val="002767FF"/>
    <w:rsid w:val="00281A68"/>
    <w:rsid w:val="00283737"/>
    <w:rsid w:val="002B18FE"/>
    <w:rsid w:val="002B5493"/>
    <w:rsid w:val="00343214"/>
    <w:rsid w:val="00361C00"/>
    <w:rsid w:val="00395FA1"/>
    <w:rsid w:val="003E15D4"/>
    <w:rsid w:val="0040081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23E"/>
    <w:rsid w:val="006037C0"/>
    <w:rsid w:val="006631B6"/>
    <w:rsid w:val="00680577"/>
    <w:rsid w:val="006D7121"/>
    <w:rsid w:val="006F74FA"/>
    <w:rsid w:val="00731ADD"/>
    <w:rsid w:val="00734777"/>
    <w:rsid w:val="00747932"/>
    <w:rsid w:val="00751A4A"/>
    <w:rsid w:val="00756632"/>
    <w:rsid w:val="00762C74"/>
    <w:rsid w:val="0077300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2C1"/>
    <w:rsid w:val="009B0802"/>
    <w:rsid w:val="009D674B"/>
    <w:rsid w:val="00A1687D"/>
    <w:rsid w:val="00A43E52"/>
    <w:rsid w:val="00A4678D"/>
    <w:rsid w:val="00A72C80"/>
    <w:rsid w:val="00A778C7"/>
    <w:rsid w:val="00AB441E"/>
    <w:rsid w:val="00AB6293"/>
    <w:rsid w:val="00AE0928"/>
    <w:rsid w:val="00AE6DE8"/>
    <w:rsid w:val="00AF3B82"/>
    <w:rsid w:val="00B12E95"/>
    <w:rsid w:val="00B22876"/>
    <w:rsid w:val="00B558F0"/>
    <w:rsid w:val="00B713E6"/>
    <w:rsid w:val="00BB1A39"/>
    <w:rsid w:val="00BD48FE"/>
    <w:rsid w:val="00BD7BD8"/>
    <w:rsid w:val="00BE6ADC"/>
    <w:rsid w:val="00C05BFE"/>
    <w:rsid w:val="00C12925"/>
    <w:rsid w:val="00C23CD4"/>
    <w:rsid w:val="00C50E04"/>
    <w:rsid w:val="00C61C0C"/>
    <w:rsid w:val="00C941CB"/>
    <w:rsid w:val="00CC2357"/>
    <w:rsid w:val="00CF071A"/>
    <w:rsid w:val="00D058B8"/>
    <w:rsid w:val="00D56C11"/>
    <w:rsid w:val="00D57334"/>
    <w:rsid w:val="00D834A0"/>
    <w:rsid w:val="00D872DF"/>
    <w:rsid w:val="00D91E21"/>
    <w:rsid w:val="00DA7FCD"/>
    <w:rsid w:val="00E1717D"/>
    <w:rsid w:val="00E365E1"/>
    <w:rsid w:val="00E41E13"/>
    <w:rsid w:val="00E820A4"/>
    <w:rsid w:val="00EB006A"/>
    <w:rsid w:val="00EB4772"/>
    <w:rsid w:val="00ED169E"/>
    <w:rsid w:val="00ED4235"/>
    <w:rsid w:val="00ED6C3A"/>
    <w:rsid w:val="00F04346"/>
    <w:rsid w:val="00F06127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7463C"/>
  <w15:chartTrackingRefBased/>
  <w15:docId w15:val="{5527B49C-C7D3-46E9-9ADA-BD4E0CAD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D712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D712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D71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D71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1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121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121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121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121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6D712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D71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D712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D7121"/>
    <w:pPr>
      <w:spacing w:after="120"/>
    </w:pPr>
  </w:style>
  <w:style w:type="paragraph" w:customStyle="1" w:styleId="PageHeading">
    <w:name w:val="PageHeading"/>
    <w:basedOn w:val="Normal"/>
    <w:rsid w:val="006D71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7121"/>
    <w:rPr>
      <w:b/>
    </w:rPr>
  </w:style>
  <w:style w:type="paragraph" w:customStyle="1" w:styleId="NormalBold12a">
    <w:name w:val="NormalBold12a"/>
    <w:basedOn w:val="Normal"/>
    <w:rsid w:val="006D7121"/>
    <w:pPr>
      <w:spacing w:after="240"/>
    </w:pPr>
    <w:rPr>
      <w:b/>
    </w:rPr>
  </w:style>
  <w:style w:type="paragraph" w:customStyle="1" w:styleId="AmJustText">
    <w:name w:val="AmJustText"/>
    <w:basedOn w:val="Normal"/>
    <w:rsid w:val="006D712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D712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7121"/>
    <w:pPr>
      <w:spacing w:after="480"/>
      <w:ind w:left="1417"/>
    </w:pPr>
  </w:style>
  <w:style w:type="paragraph" w:customStyle="1" w:styleId="CoverNormal">
    <w:name w:val="CoverNormal"/>
    <w:basedOn w:val="Normal"/>
    <w:rsid w:val="006D7121"/>
    <w:pPr>
      <w:ind w:left="1418"/>
    </w:pPr>
  </w:style>
  <w:style w:type="paragraph" w:customStyle="1" w:styleId="AmCrossRef">
    <w:name w:val="AmCrossRef"/>
    <w:basedOn w:val="Normal"/>
    <w:rsid w:val="006D712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712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D712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712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71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712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D71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121"/>
    <w:rPr>
      <w:sz w:val="24"/>
      <w:lang w:val="fr-FR"/>
    </w:rPr>
  </w:style>
  <w:style w:type="paragraph" w:customStyle="1" w:styleId="AmOrLang">
    <w:name w:val="AmOrLang"/>
    <w:basedOn w:val="Normal"/>
    <w:rsid w:val="006D712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712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D71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D7121"/>
    <w:pPr>
      <w:spacing w:before="240"/>
    </w:pPr>
    <w:rPr>
      <w:b/>
    </w:rPr>
  </w:style>
  <w:style w:type="paragraph" w:customStyle="1" w:styleId="EPBody">
    <w:name w:val="EPBody"/>
    <w:basedOn w:val="Normal"/>
    <w:rsid w:val="006D71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D71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D7121"/>
    <w:pPr>
      <w:spacing w:before="480" w:after="240"/>
    </w:pPr>
  </w:style>
  <w:style w:type="paragraph" w:customStyle="1" w:styleId="Lgendesigne">
    <w:name w:val="Légende signe"/>
    <w:basedOn w:val="Normal"/>
    <w:rsid w:val="006D712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712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7121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6D7121"/>
    <w:rPr>
      <w:b/>
      <w:sz w:val="24"/>
      <w:lang w:val="fr-FR"/>
    </w:rPr>
  </w:style>
  <w:style w:type="paragraph" w:customStyle="1" w:styleId="msonormal0">
    <w:name w:val="msonormal"/>
    <w:basedOn w:val="Normal"/>
    <w:rsid w:val="006D712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D71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121"/>
    <w:rPr>
      <w:sz w:val="24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6D7121"/>
    <w:rPr>
      <w:noProof/>
      <w:sz w:val="24"/>
    </w:rPr>
  </w:style>
  <w:style w:type="paragraph" w:customStyle="1" w:styleId="Normal12">
    <w:name w:val="Normal12"/>
    <w:basedOn w:val="Normal"/>
    <w:link w:val="Normal12Char"/>
    <w:rsid w:val="006D712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D712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D712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D712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D712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D712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D712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6D7121"/>
    <w:pPr>
      <w:spacing w:after="120"/>
    </w:pPr>
  </w:style>
  <w:style w:type="paragraph" w:customStyle="1" w:styleId="Normal12Italic">
    <w:name w:val="Normal12Italic"/>
    <w:basedOn w:val="Normal12"/>
    <w:rsid w:val="006D7121"/>
    <w:rPr>
      <w:i/>
    </w:rPr>
  </w:style>
  <w:style w:type="paragraph" w:customStyle="1" w:styleId="JustificationTitle">
    <w:name w:val="JustificationTitle"/>
    <w:basedOn w:val="Normal"/>
    <w:next w:val="Normal12"/>
    <w:rsid w:val="006D712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D712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D712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71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D7121"/>
    <w:pPr>
      <w:spacing w:before="240"/>
      <w:jc w:val="center"/>
    </w:pPr>
    <w:rPr>
      <w:i/>
    </w:rPr>
  </w:style>
  <w:style w:type="character" w:customStyle="1" w:styleId="Footer2Middle">
    <w:name w:val="Footer2Middle"/>
    <w:rsid w:val="006D712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D712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6D71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D7121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6D71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71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712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D71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D7121"/>
    <w:rPr>
      <w:b/>
      <w:bCs/>
      <w:lang w:val="fr-FR"/>
    </w:rPr>
  </w:style>
  <w:style w:type="paragraph" w:customStyle="1" w:styleId="Normal1">
    <w:name w:val="Normal1"/>
    <w:basedOn w:val="Normal"/>
    <w:rsid w:val="006D7121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D7121"/>
    <w:rPr>
      <w:sz w:val="24"/>
      <w:lang w:val="fr-FR"/>
    </w:rPr>
  </w:style>
  <w:style w:type="character" w:customStyle="1" w:styleId="AmNumberTabsChar">
    <w:name w:val="AmNumberTabs Char"/>
    <w:basedOn w:val="DefaultParagraphFont"/>
    <w:link w:val="AmNumberTabs"/>
    <w:rsid w:val="006D7121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6D7121"/>
    <w:rPr>
      <w:b/>
      <w:sz w:val="24"/>
      <w:lang w:val="fr-FR"/>
    </w:rPr>
  </w:style>
  <w:style w:type="paragraph" w:customStyle="1" w:styleId="Normal24a">
    <w:name w:val="Normal24a"/>
    <w:basedOn w:val="Normal"/>
    <w:rsid w:val="006D7121"/>
    <w:pPr>
      <w:spacing w:after="480"/>
    </w:pPr>
  </w:style>
  <w:style w:type="paragraph" w:customStyle="1" w:styleId="NormalBoldCenter">
    <w:name w:val="NormalBoldCenter"/>
    <w:basedOn w:val="Normal"/>
    <w:rsid w:val="006D7121"/>
    <w:pPr>
      <w:jc w:val="center"/>
    </w:pPr>
    <w:rPr>
      <w:b/>
    </w:rPr>
  </w:style>
  <w:style w:type="paragraph" w:customStyle="1" w:styleId="Normal12a">
    <w:name w:val="Normal12a"/>
    <w:basedOn w:val="Normal"/>
    <w:rsid w:val="006D7121"/>
    <w:pPr>
      <w:spacing w:after="240"/>
    </w:pPr>
  </w:style>
  <w:style w:type="paragraph" w:customStyle="1" w:styleId="PageHeadingNotTOC">
    <w:name w:val="PageHeadingNotTOC"/>
    <w:basedOn w:val="Normal"/>
    <w:rsid w:val="006D71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D712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D71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D71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D71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D7121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D7121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9902C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902C1"/>
    <w:pPr>
      <w:spacing w:after="240"/>
      <w:jc w:val="center"/>
    </w:pPr>
  </w:style>
  <w:style w:type="paragraph" w:customStyle="1" w:styleId="AmDateTab">
    <w:name w:val="AmDateTab"/>
    <w:basedOn w:val="Normal"/>
    <w:rsid w:val="009902C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902C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902C1"/>
  </w:style>
  <w:style w:type="paragraph" w:customStyle="1" w:styleId="NormalCentered">
    <w:name w:val="Normal Centered"/>
    <w:basedOn w:val="Normal"/>
    <w:rsid w:val="009902C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902C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902C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902C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902C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902C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902C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902C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902C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902C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902C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902C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902C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902C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902C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902C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902C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902C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902C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902C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902C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902C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902C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902C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902C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902C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902C1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902C1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902C1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902C1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902C1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902C1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902C1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902C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902C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902C1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902C1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902C1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902C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902C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902C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902C1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902C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902C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902C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902C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902C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902C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902C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902C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902C1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902C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902C1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902C1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902C1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9902C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902C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902C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902C1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902C1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902C1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902C1"/>
    <w:pPr>
      <w:jc w:val="center"/>
    </w:pPr>
  </w:style>
  <w:style w:type="paragraph" w:customStyle="1" w:styleId="Jardin">
    <w:name w:val="Jardin"/>
    <w:basedOn w:val="Normal"/>
    <w:rsid w:val="009902C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902C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902C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902C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902C1"/>
    <w:rPr>
      <w:b/>
    </w:rPr>
  </w:style>
  <w:style w:type="paragraph" w:customStyle="1" w:styleId="Annex">
    <w:name w:val="Annex"/>
    <w:basedOn w:val="Normal"/>
    <w:next w:val="Normal"/>
    <w:rsid w:val="009902C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902C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902C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902C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902C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902C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902C1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9902C1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9902C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9902C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902C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902C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9902C1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9902C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9902C1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9902C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902C1"/>
    <w:rPr>
      <w:rFonts w:ascii="Arial" w:hAnsi="Arial" w:cs="Arial"/>
      <w:b/>
      <w:sz w:val="23"/>
      <w:u w:color="606060"/>
      <w:lang w:val="fr-FR" w:eastAsia="fr-BE"/>
    </w:rPr>
  </w:style>
  <w:style w:type="paragraph" w:customStyle="1" w:styleId="TBSubjectTable">
    <w:name w:val="TBSubjectTable"/>
    <w:basedOn w:val="TechnicalBlockBase"/>
    <w:rsid w:val="009902C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902C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902C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902C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r-F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902C1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r-FR" w:eastAsia="fr-BE"/>
    </w:rPr>
  </w:style>
  <w:style w:type="paragraph" w:customStyle="1" w:styleId="HeaderCouncilLarge">
    <w:name w:val="Header Council Large"/>
    <w:basedOn w:val="Normal"/>
    <w:link w:val="HeaderCouncilLargeChar"/>
    <w:rsid w:val="009902C1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902C1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fr-FR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9902C1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fr-FR" w:eastAsia="fr-BE"/>
    </w:rPr>
  </w:style>
  <w:style w:type="paragraph" w:customStyle="1" w:styleId="FooterText">
    <w:name w:val="Footer Text"/>
    <w:basedOn w:val="Normal"/>
    <w:rsid w:val="009902C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902C1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9902C1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902C1"/>
    <w:rPr>
      <w:rFonts w:ascii="Cambria" w:hAnsi="Cambria"/>
      <w:spacing w:val="-10"/>
      <w:kern w:val="28"/>
      <w:sz w:val="56"/>
      <w:szCs w:val="56"/>
      <w:lang w:val="fr-FR"/>
    </w:rPr>
  </w:style>
  <w:style w:type="paragraph" w:customStyle="1" w:styleId="Subtitle1">
    <w:name w:val="Subtitle1"/>
    <w:basedOn w:val="Normal"/>
    <w:next w:val="Normal"/>
    <w:uiPriority w:val="11"/>
    <w:qFormat/>
    <w:rsid w:val="009902C1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902C1"/>
    <w:rPr>
      <w:color w:val="595959"/>
      <w:spacing w:val="15"/>
      <w:kern w:val="2"/>
      <w:sz w:val="28"/>
      <w:szCs w:val="28"/>
      <w:lang w:val="fr-FR"/>
    </w:rPr>
  </w:style>
  <w:style w:type="paragraph" w:customStyle="1" w:styleId="Quote1">
    <w:name w:val="Quote1"/>
    <w:basedOn w:val="Normal"/>
    <w:next w:val="Normal"/>
    <w:uiPriority w:val="29"/>
    <w:qFormat/>
    <w:rsid w:val="009902C1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902C1"/>
    <w:rPr>
      <w:i/>
      <w:iCs/>
      <w:color w:val="404040"/>
      <w:kern w:val="2"/>
      <w:lang w:val="fr-FR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9902C1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9902C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9902C1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2C1"/>
    <w:rPr>
      <w:i/>
      <w:iCs/>
      <w:color w:val="365F91"/>
      <w:kern w:val="2"/>
      <w:lang w:val="fr-FR"/>
    </w:rPr>
  </w:style>
  <w:style w:type="character" w:customStyle="1" w:styleId="IntenseReference1">
    <w:name w:val="Intense Reference1"/>
    <w:basedOn w:val="DefaultParagraphFont"/>
    <w:uiPriority w:val="32"/>
    <w:qFormat/>
    <w:rsid w:val="009902C1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9902C1"/>
    <w:rPr>
      <w:rFonts w:ascii="Arial" w:hAnsi="Arial" w:cs="Arial"/>
      <w:b/>
      <w:sz w:val="23"/>
      <w:u w:color="606060"/>
      <w:lang w:val="fr-FR" w:eastAsia="fr-BE"/>
    </w:rPr>
  </w:style>
  <w:style w:type="paragraph" w:customStyle="1" w:styleId="TBDistrbMarkers">
    <w:name w:val="TBDistrbMarkers"/>
    <w:basedOn w:val="TBEntRefer"/>
    <w:qFormat/>
    <w:rsid w:val="009902C1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9902C1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9902C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9902C1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9902C1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9902C1"/>
    <w:rPr>
      <w:rFonts w:ascii="Times New Roman" w:hAnsi="Times New Roman" w:cs="Times New Roman"/>
      <w:sz w:val="24"/>
      <w:lang w:val="fr-FR"/>
    </w:rPr>
  </w:style>
  <w:style w:type="paragraph" w:customStyle="1" w:styleId="title-bold">
    <w:name w:val="title-bold"/>
    <w:basedOn w:val="Normal"/>
    <w:rsid w:val="009902C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9902C1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9902C1"/>
    <w:rPr>
      <w:i/>
      <w:iCs/>
    </w:rPr>
  </w:style>
  <w:style w:type="paragraph" w:styleId="NoSpacing">
    <w:name w:val="No Spacing"/>
    <w:uiPriority w:val="1"/>
    <w:qFormat/>
    <w:rsid w:val="009902C1"/>
    <w:rPr>
      <w:rFonts w:eastAsia="Calibri"/>
      <w:sz w:val="24"/>
      <w:szCs w:val="22"/>
      <w:lang w:val="fr-FR" w:eastAsia="en-US"/>
    </w:rPr>
  </w:style>
  <w:style w:type="paragraph" w:customStyle="1" w:styleId="Manual">
    <w:name w:val="Manual"/>
    <w:basedOn w:val="Normal"/>
    <w:rsid w:val="009902C1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9902C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902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9902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902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9902C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902C1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902C1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902C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9902C1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902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902C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902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902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902C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902C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902C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902C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902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902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902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902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902C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902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902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902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902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902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902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902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902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9902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902C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902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902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902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902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9902C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9902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902C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902C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9902C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9902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9902C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902C1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9902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9902C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902C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902C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9902C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902C1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9902C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902C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902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902C1"/>
    <w:pPr>
      <w:spacing w:after="240"/>
    </w:pPr>
  </w:style>
  <w:style w:type="paragraph" w:customStyle="1" w:styleId="Lignefinal">
    <w:name w:val="Ligne final"/>
    <w:basedOn w:val="Normal"/>
    <w:next w:val="Normal"/>
    <w:rsid w:val="009902C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902C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902C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902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902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902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902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902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902C1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902C1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902C1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902C1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902C1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902C1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902C1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902C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902C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9902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902C1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9902C1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902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9902C1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902C1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902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902C1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902C1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902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902C1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902C1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902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902C1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902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902C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902C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902C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902C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902C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902C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902C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902C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902C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902C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902C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902C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902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902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9902C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902C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9902C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9902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902C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9902C1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902C1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902C1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902C1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902C1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902C1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902C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902C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902C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902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902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9902C1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9902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902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902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902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902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902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902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902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902C1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902C1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902C1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902C1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902C1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902C1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902C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9902C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902C1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9902C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2C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902C1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902C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9902C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2C1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9902C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9902C1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9902C1"/>
    <w:rPr>
      <w:i/>
      <w:iCs/>
      <w:color w:val="404040" w:themeColor="text1" w:themeTint="BF"/>
      <w:sz w:val="24"/>
      <w:lang w:val="fr-FR"/>
    </w:rPr>
  </w:style>
  <w:style w:type="paragraph" w:styleId="ListParagraph">
    <w:name w:val="List Paragraph"/>
    <w:basedOn w:val="Normal"/>
    <w:uiPriority w:val="34"/>
    <w:qFormat/>
    <w:rsid w:val="009902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2C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2C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9902C1"/>
    <w:rPr>
      <w:i/>
      <w:iCs/>
      <w:color w:val="5B9BD5" w:themeColor="accent1"/>
      <w:sz w:val="24"/>
      <w:lang w:val="fr-FR"/>
    </w:rPr>
  </w:style>
  <w:style w:type="character" w:styleId="IntenseReference">
    <w:name w:val="Intense Reference"/>
    <w:basedOn w:val="DefaultParagraphFont"/>
    <w:uiPriority w:val="32"/>
    <w:qFormat/>
    <w:rsid w:val="009902C1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9902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ILLY_D</cp:lastModifiedBy>
  <cp:revision>2</cp:revision>
  <cp:lastPrinted>2004-11-19T15:42:00Z</cp:lastPrinted>
  <dcterms:created xsi:type="dcterms:W3CDTF">2026-05-26T10:42:00Z</dcterms:created>
  <dcterms:modified xsi:type="dcterms:W3CDTF">2026-05-26T10:42:00Z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