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26B7" w14:paraId="77F0CE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44E873" w14:textId="77777777" w:rsidR="00751A4A" w:rsidRPr="00EC26B7" w:rsidRDefault="00046DD8" w:rsidP="0010095E">
            <w:pPr>
              <w:pStyle w:val="EPName"/>
            </w:pPr>
            <w:r w:rsidRPr="00EC26B7">
              <w:t>Europski parlament</w:t>
            </w:r>
          </w:p>
          <w:p w14:paraId="0F963C20" w14:textId="77777777" w:rsidR="00751A4A" w:rsidRPr="00EC26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26B7">
              <w:t>2024</w:t>
            </w:r>
            <w:r w:rsidR="00817416" w:rsidRPr="00EC26B7">
              <w:t>-202</w:t>
            </w:r>
            <w:r w:rsidRPr="00EC26B7">
              <w:t>9</w:t>
            </w:r>
          </w:p>
        </w:tc>
        <w:tc>
          <w:tcPr>
            <w:tcW w:w="2268" w:type="dxa"/>
            <w:shd w:val="clear" w:color="auto" w:fill="auto"/>
          </w:tcPr>
          <w:p w14:paraId="118D61E2" w14:textId="77777777" w:rsidR="00751A4A" w:rsidRPr="00EC26B7" w:rsidRDefault="00187494" w:rsidP="0010095E">
            <w:pPr>
              <w:pStyle w:val="EPLogo"/>
            </w:pPr>
            <w:r w:rsidRPr="00EC26B7">
              <w:rPr>
                <w:noProof/>
                <w:lang w:eastAsia="ja-JP"/>
              </w:rPr>
              <w:drawing>
                <wp:inline distT="0" distB="0" distL="0" distR="0" wp14:anchorId="1782A02F" wp14:editId="0947F3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3A750C" w14:textId="77777777" w:rsidR="00D058B8" w:rsidRPr="00EC26B7" w:rsidRDefault="00D058B8" w:rsidP="004C5D52">
      <w:pPr>
        <w:pStyle w:val="LineTop"/>
      </w:pPr>
    </w:p>
    <w:p w14:paraId="19A940D4" w14:textId="77777777" w:rsidR="00680577" w:rsidRPr="00EC26B7" w:rsidRDefault="00046DD8" w:rsidP="00680577">
      <w:pPr>
        <w:pStyle w:val="EPBodyTA1"/>
      </w:pPr>
      <w:r w:rsidRPr="00EC26B7">
        <w:t>USVOJENI TEKSTOVI</w:t>
      </w:r>
    </w:p>
    <w:p w14:paraId="0D28B50C" w14:textId="77777777" w:rsidR="00D058B8" w:rsidRPr="00EC26B7" w:rsidRDefault="00D058B8" w:rsidP="00D058B8">
      <w:pPr>
        <w:pStyle w:val="LineBottom"/>
      </w:pPr>
    </w:p>
    <w:p w14:paraId="6DB65164" w14:textId="00D1AF04" w:rsidR="00046DD8" w:rsidRPr="00EC26B7" w:rsidRDefault="00046DD8" w:rsidP="00046DD8">
      <w:pPr>
        <w:pStyle w:val="ATHeading1"/>
      </w:pPr>
      <w:bookmarkStart w:id="0" w:name="TANumber"/>
      <w:r w:rsidRPr="00EC26B7">
        <w:t>P</w:t>
      </w:r>
      <w:r w:rsidR="00D11116">
        <w:t>10</w:t>
      </w:r>
      <w:r w:rsidRPr="00EC26B7">
        <w:t>_TA(2026)00</w:t>
      </w:r>
      <w:r w:rsidR="00EB0EA6">
        <w:t>94</w:t>
      </w:r>
      <w:bookmarkEnd w:id="0"/>
    </w:p>
    <w:p w14:paraId="065D66D6" w14:textId="77777777" w:rsidR="00046DD8" w:rsidRPr="00EC26B7" w:rsidRDefault="00046DD8" w:rsidP="00046DD8">
      <w:pPr>
        <w:pStyle w:val="ATHeading2"/>
      </w:pPr>
      <w:bookmarkStart w:id="1" w:name="title"/>
      <w:r w:rsidRPr="00EC26B7">
        <w:t>Borba protiv korupcije</w:t>
      </w:r>
      <w:bookmarkEnd w:id="1"/>
    </w:p>
    <w:p w14:paraId="483EDCCF" w14:textId="2C8957F2" w:rsidR="00046DD8" w:rsidRPr="00EC26B7" w:rsidRDefault="00046DD8" w:rsidP="00046DD8">
      <w:pPr>
        <w:rPr>
          <w:i/>
          <w:vanish/>
        </w:rPr>
      </w:pPr>
      <w:r w:rsidRPr="00EC26B7">
        <w:rPr>
          <w:i/>
        </w:rPr>
        <w:fldChar w:fldCharType="begin"/>
      </w:r>
      <w:r w:rsidRPr="00EC26B7">
        <w:rPr>
          <w:i/>
        </w:rPr>
        <w:instrText xml:space="preserve"> TC"(</w:instrText>
      </w:r>
      <w:bookmarkStart w:id="2" w:name="DocNumber"/>
      <w:r w:rsidRPr="00EC26B7">
        <w:rPr>
          <w:i/>
        </w:rPr>
        <w:instrText>A9-0048/2024</w:instrText>
      </w:r>
      <w:bookmarkEnd w:id="2"/>
      <w:r w:rsidRPr="00EC26B7">
        <w:rPr>
          <w:i/>
        </w:rPr>
        <w:instrText xml:space="preserve"> - Izvjestiteljica: </w:instrText>
      </w:r>
      <w:r w:rsidR="00BF1E06" w:rsidRPr="00EB0EA6">
        <w:rPr>
          <w:i/>
        </w:rPr>
        <w:instrText>Raquel García Hermida-Van Der Walle</w:instrText>
      </w:r>
      <w:r w:rsidRPr="00EC26B7">
        <w:rPr>
          <w:i/>
        </w:rPr>
        <w:instrText xml:space="preserve">)"\l3 \n&gt; \* MERGEFORMAT </w:instrText>
      </w:r>
      <w:r w:rsidRPr="00EC26B7">
        <w:rPr>
          <w:i/>
        </w:rPr>
        <w:fldChar w:fldCharType="end"/>
      </w:r>
    </w:p>
    <w:p w14:paraId="2EA9CC77" w14:textId="77777777" w:rsidR="00046DD8" w:rsidRPr="00EC26B7" w:rsidRDefault="00046DD8" w:rsidP="00046DD8">
      <w:pPr>
        <w:rPr>
          <w:vanish/>
        </w:rPr>
      </w:pPr>
      <w:bookmarkStart w:id="3" w:name="Commission"/>
      <w:r w:rsidRPr="00EC26B7">
        <w:rPr>
          <w:vanish/>
        </w:rPr>
        <w:t>Odbor za građanske slobode, pravosuđe i unutarnje poslove</w:t>
      </w:r>
      <w:bookmarkEnd w:id="3"/>
    </w:p>
    <w:p w14:paraId="4315ADD9" w14:textId="77777777" w:rsidR="00046DD8" w:rsidRPr="00EC26B7" w:rsidRDefault="00046DD8" w:rsidP="00046DD8">
      <w:pPr>
        <w:rPr>
          <w:vanish/>
        </w:rPr>
      </w:pPr>
      <w:bookmarkStart w:id="4" w:name="PE"/>
      <w:r w:rsidRPr="00EC26B7">
        <w:rPr>
          <w:vanish/>
        </w:rPr>
        <w:t>PE753.573</w:t>
      </w:r>
      <w:bookmarkEnd w:id="4"/>
    </w:p>
    <w:p w14:paraId="31BB35A6" w14:textId="5026BB9F" w:rsidR="00046DD8" w:rsidRPr="00EC26B7" w:rsidRDefault="00046DD8" w:rsidP="00046DD8">
      <w:pPr>
        <w:pStyle w:val="ATHeading3"/>
      </w:pPr>
      <w:bookmarkStart w:id="5" w:name="Sujet"/>
      <w:r w:rsidRPr="00EC26B7">
        <w:t xml:space="preserve">Zakonodavna rezolucija Europskog parlamenta od </w:t>
      </w:r>
      <w:r w:rsidR="00BF1E06">
        <w:t>26.</w:t>
      </w:r>
      <w:r w:rsidR="00292985">
        <w:t xml:space="preserve"> </w:t>
      </w:r>
      <w:r w:rsidR="00BF1E06">
        <w:t>ožujka</w:t>
      </w:r>
      <w:r w:rsidRPr="00EC26B7">
        <w:t xml:space="preserve"> 2026. o Prijedlogu direktive Europskog Parlamenta i Vijeća o borbi protiv korupcije, zamjeni Okvirne odluke Vijeća 2003/568/PUP i Konvencije o borbi protiv korupcije koja uključuje dužnosnike Europskih zajednica ili dužnosnike država članica Europske unije te o izmjeni Direktive (EU) 2017/1371 Europskog parlamenta i Vijeća</w:t>
      </w:r>
      <w:bookmarkEnd w:id="5"/>
      <w:r w:rsidRPr="00EC26B7">
        <w:t xml:space="preserve"> </w:t>
      </w:r>
      <w:bookmarkStart w:id="6" w:name="References"/>
      <w:r w:rsidRPr="00EC26B7">
        <w:t>(COM(2023)0234 – C9-0162/2023 – 2023/0135(COD))</w:t>
      </w:r>
      <w:bookmarkEnd w:id="6"/>
    </w:p>
    <w:p w14:paraId="402696B8" w14:textId="77777777" w:rsidR="00192EB3" w:rsidRPr="00EC26B7" w:rsidRDefault="00192EB3" w:rsidP="00192EB3">
      <w:pPr>
        <w:pStyle w:val="NormalBold"/>
      </w:pPr>
      <w:r w:rsidRPr="00EC26B7">
        <w:t>(Redovni zakonodavni postupak: prvo čitanje)</w:t>
      </w:r>
    </w:p>
    <w:p w14:paraId="2370F4BA" w14:textId="77777777" w:rsidR="00192EB3" w:rsidRPr="00EC26B7" w:rsidRDefault="00192EB3" w:rsidP="00192EB3">
      <w:pPr>
        <w:pStyle w:val="EPComma"/>
      </w:pPr>
      <w:r w:rsidRPr="00EC26B7">
        <w:rPr>
          <w:i/>
        </w:rPr>
        <w:t>Europski parlament</w:t>
      </w:r>
      <w:r w:rsidRPr="00EC26B7">
        <w:t>,</w:t>
      </w:r>
    </w:p>
    <w:p w14:paraId="3F693BEB" w14:textId="77777777" w:rsidR="00192EB3" w:rsidRPr="00EC26B7" w:rsidRDefault="00192EB3" w:rsidP="00192EB3">
      <w:pPr>
        <w:pStyle w:val="NormalHanging12a"/>
      </w:pPr>
      <w:r w:rsidRPr="00EC26B7">
        <w:t>–</w:t>
      </w:r>
      <w:r w:rsidRPr="00EC26B7">
        <w:tab/>
        <w:t>uzimajući u obzir Prijedlog Komisije upućen Europskom parlamentu i Vijeću (COM(2023)0234),</w:t>
      </w:r>
    </w:p>
    <w:p w14:paraId="432C70A0" w14:textId="77777777" w:rsidR="00192EB3" w:rsidRPr="00EC26B7" w:rsidRDefault="00192EB3" w:rsidP="00192EB3">
      <w:pPr>
        <w:pStyle w:val="NormalHanging12a"/>
      </w:pPr>
      <w:r w:rsidRPr="00EC26B7">
        <w:t>–</w:t>
      </w:r>
      <w:r w:rsidRPr="00EC26B7">
        <w:tab/>
        <w:t>uzimajući u obzir članak 294. stavak 2. te članak 82. stavak 1. točku (d) i članak 83. stavke 1. i 2. Ugovora o funkcioniranju Europske unije, u skladu s kojima je Komisija podnijela prijedlog Parlamentu (C9-0162/2023),</w:t>
      </w:r>
    </w:p>
    <w:p w14:paraId="1AE98431" w14:textId="77777777" w:rsidR="00192EB3" w:rsidRPr="00EC26B7" w:rsidRDefault="00192EB3" w:rsidP="00192EB3">
      <w:pPr>
        <w:pStyle w:val="NormalHanging12a"/>
      </w:pPr>
      <w:r w:rsidRPr="00EC26B7">
        <w:t>–</w:t>
      </w:r>
      <w:r w:rsidRPr="00EC26B7">
        <w:tab/>
        <w:t>uzimajući u obzir članak 294. stavak 3. Ugovora o funkcioniranju Europske unije,</w:t>
      </w:r>
    </w:p>
    <w:p w14:paraId="0B810C05" w14:textId="4A96E155" w:rsidR="00192EB3" w:rsidRDefault="00192EB3" w:rsidP="00192EB3">
      <w:pPr>
        <w:pStyle w:val="NormalHanging12a"/>
      </w:pPr>
      <w:r w:rsidRPr="00EC26B7">
        <w:t>–</w:t>
      </w:r>
      <w:r w:rsidRPr="00EC26B7">
        <w:tab/>
        <w:t xml:space="preserve">uzimajući u obzir obrazloženo mišljenje Švedskog parlamenta </w:t>
      </w:r>
      <w:r w:rsidRPr="00BF1E06">
        <w:t>i talijanskog Zastupničkog doma</w:t>
      </w:r>
      <w:r w:rsidRPr="00EC26B7">
        <w:t xml:space="preserve">, podneseno u okviru protokola br. 2 o primjeni načela supsidijarnosti i proporcionalnosti, u kojemu se izjavljuje da </w:t>
      </w:r>
      <w:r w:rsidR="009A4285">
        <w:t>N</w:t>
      </w:r>
      <w:r w:rsidRPr="00EC26B7">
        <w:t>acrt zakonodavnog akta nije u skladu s načelom supsidijarnosti,</w:t>
      </w:r>
    </w:p>
    <w:p w14:paraId="74595136" w14:textId="74F461DE" w:rsidR="00BF1E06" w:rsidRDefault="00BF1E06" w:rsidP="00192EB3">
      <w:pPr>
        <w:pStyle w:val="NormalHanging12a"/>
      </w:pPr>
      <w:r w:rsidRPr="00BF1E06">
        <w:t>–</w:t>
      </w:r>
      <w:r w:rsidRPr="00BF1E06">
        <w:tab/>
        <w:t>uzimajući u obzir mišljenje Europskoga gospodarskog i socijalnog odbora</w:t>
      </w:r>
      <w:r w:rsidR="00292985">
        <w:t xml:space="preserve"> od 25. listopada 2023.</w:t>
      </w:r>
      <w:r>
        <w:rPr>
          <w:rStyle w:val="FootnoteReference"/>
        </w:rPr>
        <w:footnoteReference w:id="1"/>
      </w:r>
      <w:r>
        <w:t>,</w:t>
      </w:r>
    </w:p>
    <w:p w14:paraId="4EF770F8" w14:textId="3AF199F7" w:rsidR="00BF1E06" w:rsidRDefault="00BF1E06" w:rsidP="00192EB3">
      <w:pPr>
        <w:pStyle w:val="NormalHanging12a"/>
      </w:pPr>
      <w:r w:rsidRPr="00BF1E06">
        <w:t>–</w:t>
      </w:r>
      <w:r w:rsidRPr="00BF1E06">
        <w:tab/>
        <w:t>uzimajući u obzir mišljenje Odbora regija</w:t>
      </w:r>
      <w:r w:rsidR="00292985">
        <w:t xml:space="preserve"> od 29. studenoga 2023.</w:t>
      </w:r>
      <w:r>
        <w:rPr>
          <w:rStyle w:val="FootnoteReference"/>
        </w:rPr>
        <w:footnoteReference w:id="2"/>
      </w:r>
      <w:r>
        <w:t>,</w:t>
      </w:r>
    </w:p>
    <w:p w14:paraId="4A737919" w14:textId="7C129068" w:rsidR="00BF1E06" w:rsidRPr="00EC26B7" w:rsidRDefault="00BF1E06" w:rsidP="00192EB3">
      <w:pPr>
        <w:pStyle w:val="NormalHanging12a"/>
      </w:pPr>
      <w:r w:rsidRPr="00BF1E06">
        <w:t>–</w:t>
      </w:r>
      <w:r w:rsidRPr="00BF1E06">
        <w:tab/>
        <w:t xml:space="preserve">uzimajući u obzir privremeni sporazum koji je odobrio nadležni odbor u skladu s </w:t>
      </w:r>
      <w:r w:rsidRPr="00BF1E06">
        <w:lastRenderedPageBreak/>
        <w:t xml:space="preserve">člankom 75. stavkom 4. Poslovnika te činjenicu da se predstavnik Vijeća pismom od </w:t>
      </w:r>
      <w:r>
        <w:t>10</w:t>
      </w:r>
      <w:r w:rsidRPr="00BF1E06">
        <w:t xml:space="preserve">. </w:t>
      </w:r>
      <w:r>
        <w:t>prosinca</w:t>
      </w:r>
      <w:r w:rsidRPr="00BF1E06">
        <w:t xml:space="preserve"> 202</w:t>
      </w:r>
      <w:r>
        <w:t>5</w:t>
      </w:r>
      <w:r w:rsidRPr="00BF1E06">
        <w:t>. obvezao prihvatiti stajalište Europskog parlamenta u skladu s člankom 294. stavkom 4. Ugovora o funkcioniranju Europske unije,</w:t>
      </w:r>
    </w:p>
    <w:p w14:paraId="70B6C27A" w14:textId="69136E65" w:rsidR="00192EB3" w:rsidRPr="00EC26B7" w:rsidRDefault="00192EB3" w:rsidP="00192EB3">
      <w:pPr>
        <w:pStyle w:val="NormalHanging12a"/>
      </w:pPr>
      <w:r w:rsidRPr="00EC26B7">
        <w:t>–</w:t>
      </w:r>
      <w:r w:rsidRPr="00EC26B7">
        <w:tab/>
        <w:t xml:space="preserve">uzimajući u obzir članak </w:t>
      </w:r>
      <w:r w:rsidR="00BF1E06">
        <w:t>60</w:t>
      </w:r>
      <w:r w:rsidRPr="00EC26B7">
        <w:t>. Poslovnika,</w:t>
      </w:r>
    </w:p>
    <w:p w14:paraId="2E4FB809" w14:textId="77777777" w:rsidR="00192EB3" w:rsidRPr="00EC26B7" w:rsidRDefault="00192EB3" w:rsidP="00192EB3">
      <w:pPr>
        <w:pStyle w:val="NormalHanging12a"/>
      </w:pPr>
      <w:r w:rsidRPr="00EC26B7">
        <w:t>–</w:t>
      </w:r>
      <w:r w:rsidRPr="00EC26B7">
        <w:tab/>
        <w:t>uzimajući u obzir mišljenje Odbora za proračunski nadzor,</w:t>
      </w:r>
    </w:p>
    <w:p w14:paraId="4353F288" w14:textId="77777777" w:rsidR="00192EB3" w:rsidRPr="00EC26B7" w:rsidRDefault="00192EB3" w:rsidP="00192EB3">
      <w:pPr>
        <w:pStyle w:val="NormalHanging12a"/>
      </w:pPr>
      <w:r w:rsidRPr="00EC26B7">
        <w:t>–</w:t>
      </w:r>
      <w:r w:rsidRPr="00EC26B7">
        <w:tab/>
        <w:t>uzimajući u obzir izvješće Odbora za građanske slobode, pravosuđe i unutarnje poslove (A9</w:t>
      </w:r>
      <w:r w:rsidRPr="00EC26B7">
        <w:noBreakHyphen/>
        <w:t>0048/2024),</w:t>
      </w:r>
    </w:p>
    <w:p w14:paraId="068C2D44" w14:textId="77777777" w:rsidR="00192EB3" w:rsidRPr="00EC26B7" w:rsidRDefault="00192EB3" w:rsidP="00192EB3">
      <w:pPr>
        <w:pStyle w:val="NormalHanging12a"/>
      </w:pPr>
      <w:r w:rsidRPr="00EC26B7">
        <w:t>1.</w:t>
      </w:r>
      <w:r w:rsidRPr="00EC26B7">
        <w:tab/>
        <w:t xml:space="preserve">usvaja sljedeće stajalište u prvom čitanju; </w:t>
      </w:r>
    </w:p>
    <w:p w14:paraId="4AB145B8" w14:textId="77777777" w:rsidR="00192EB3" w:rsidRPr="00EC26B7" w:rsidRDefault="00192EB3" w:rsidP="00192EB3">
      <w:pPr>
        <w:pStyle w:val="NormalHanging12a"/>
      </w:pPr>
      <w:r w:rsidRPr="00EC26B7">
        <w:t>2.</w:t>
      </w:r>
      <w:r w:rsidRPr="00EC26B7">
        <w:tab/>
        <w:t>poziva Komisiju da predmet ponovno uputi Parlamentu ako zamijeni, bitno izmijeni ili namjerava bitno izmijeniti svoj Prijedlog;</w:t>
      </w:r>
    </w:p>
    <w:p w14:paraId="0DCC90A5" w14:textId="77777777" w:rsidR="00192EB3" w:rsidRPr="00EC26B7" w:rsidRDefault="00192EB3" w:rsidP="00192EB3">
      <w:pPr>
        <w:pStyle w:val="NormalHanging12a"/>
      </w:pPr>
      <w:r w:rsidRPr="00EC26B7">
        <w:t>3.</w:t>
      </w:r>
      <w:r w:rsidRPr="00EC26B7">
        <w:tab/>
        <w:t>nalaže svojoj predsjednici da stajalište Parlamenta proslijedi Vijeću, Komisiji i nacionalnim parlamentima.</w:t>
      </w:r>
    </w:p>
    <w:p w14:paraId="22BA0FE7" w14:textId="77777777" w:rsidR="00BF1E06" w:rsidRDefault="00BF1E06" w:rsidP="00192EB3">
      <w:pPr>
        <w:pStyle w:val="AMNumberTabs0"/>
        <w:keepNext/>
        <w:sectPr w:rsidR="00BF1E06" w:rsidSect="00EC26B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46269C8" w14:textId="77777777" w:rsidR="008E3059" w:rsidRPr="00CD5C0C" w:rsidRDefault="008E3059" w:rsidP="008E305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D5C0C">
        <w:rPr>
          <w:rFonts w:eastAsia="Calibri"/>
          <w:b/>
          <w:bCs/>
          <w:color w:val="000000"/>
          <w:szCs w:val="24"/>
        </w:rPr>
        <w:lastRenderedPageBreak/>
        <w:t>P10_TC1-COD(2023)0135</w:t>
      </w:r>
    </w:p>
    <w:p w14:paraId="47F175E5" w14:textId="1DC11F4D" w:rsidR="00DE11F6" w:rsidRDefault="008E3059" w:rsidP="00EB0EA6">
      <w:pPr>
        <w:rPr>
          <w:rFonts w:eastAsia="Calibri"/>
          <w:b/>
          <w:szCs w:val="24"/>
          <w:lang w:eastAsia="en-US"/>
        </w:rPr>
      </w:pPr>
      <w:r w:rsidRPr="00CA2370">
        <w:rPr>
          <w:b/>
          <w:szCs w:val="24"/>
        </w:rPr>
        <w:t xml:space="preserve">Stajalište Europskog parlamenta usvojeno u prvom čitanju 26. ožujka 2026. radi donošenja Direktive (EU) 2026/... Europskog parlamenta i Vijeća </w:t>
      </w:r>
      <w:r w:rsidR="00DE11F6" w:rsidRPr="00CA2370">
        <w:rPr>
          <w:rFonts w:eastAsia="Calibri"/>
          <w:b/>
          <w:szCs w:val="24"/>
          <w:lang w:eastAsia="en-US"/>
        </w:rPr>
        <w:t>o borbi protiv korupcije, zamjeni Okvirne odluke Vijeća 2003/568/PUP i Konvencije o borbi protiv korupcije u kojoj sudjeluju službenici Europskih zajednica ili službenici država članica Europske unije te o izmjeni Direktive (EU) 2017/1371 Europskog parlamenta i Vijeća</w:t>
      </w:r>
    </w:p>
    <w:p w14:paraId="4F08F569" w14:textId="77777777" w:rsidR="00673C52" w:rsidRDefault="00673C52" w:rsidP="00EB0EA6">
      <w:pPr>
        <w:rPr>
          <w:rFonts w:eastAsia="Calibri"/>
          <w:b/>
          <w:szCs w:val="24"/>
          <w:lang w:eastAsia="en-US"/>
        </w:rPr>
      </w:pPr>
    </w:p>
    <w:p w14:paraId="4FCDA639" w14:textId="6A72D78B" w:rsidR="00673C52" w:rsidRPr="00673C52" w:rsidRDefault="00673C52" w:rsidP="00673C52">
      <w:pPr>
        <w:widowControl/>
        <w:jc w:val="both"/>
        <w:rPr>
          <w:rFonts w:eastAsia="Calibri"/>
          <w:i/>
          <w:szCs w:val="24"/>
          <w:lang w:eastAsia="en-US"/>
        </w:rPr>
      </w:pPr>
      <w:r w:rsidRPr="00673C52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 w:rsidRPr="00673C52">
        <w:rPr>
          <w:rFonts w:eastAsia="Calibri"/>
          <w:i/>
          <w:szCs w:val="24"/>
          <w:lang w:eastAsia="en-US"/>
        </w:rPr>
        <w:t>Direktivi</w:t>
      </w:r>
      <w:r w:rsidRPr="00673C52">
        <w:rPr>
          <w:rFonts w:eastAsia="Calibri"/>
          <w:i/>
          <w:szCs w:val="24"/>
          <w:lang w:eastAsia="en-US"/>
        </w:rPr>
        <w:t xml:space="preserve"> (EU) 2026/1021</w:t>
      </w:r>
      <w:r>
        <w:rPr>
          <w:rFonts w:eastAsia="Calibri"/>
          <w:i/>
          <w:szCs w:val="24"/>
          <w:lang w:eastAsia="en-US"/>
        </w:rPr>
        <w:t>.</w:t>
      </w:r>
      <w:r w:rsidRPr="00673C52">
        <w:rPr>
          <w:rFonts w:eastAsia="Calibri"/>
          <w:i/>
          <w:szCs w:val="24"/>
          <w:lang w:eastAsia="en-US"/>
        </w:rPr>
        <w:t>)</w:t>
      </w:r>
    </w:p>
    <w:p w14:paraId="29654A2B" w14:textId="77777777" w:rsidR="00673C52" w:rsidRPr="00CA2370" w:rsidRDefault="00673C52" w:rsidP="00EB0EA6">
      <w:pPr>
        <w:rPr>
          <w:rFonts w:eastAsia="Calibri"/>
          <w:b/>
          <w:szCs w:val="24"/>
          <w:lang w:eastAsia="en-US"/>
        </w:rPr>
      </w:pPr>
    </w:p>
    <w:sectPr w:rsidR="00673C52" w:rsidRPr="00CA2370" w:rsidSect="00EC26B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F3ECD" w14:textId="77777777" w:rsidR="00046DD8" w:rsidRPr="00EC26B7" w:rsidRDefault="00046DD8">
      <w:r w:rsidRPr="00EC26B7">
        <w:separator/>
      </w:r>
    </w:p>
  </w:endnote>
  <w:endnote w:type="continuationSeparator" w:id="0">
    <w:p w14:paraId="368E5919" w14:textId="77777777" w:rsidR="00046DD8" w:rsidRPr="00EC26B7" w:rsidRDefault="00046DD8">
      <w:r w:rsidRPr="00EC26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DF0F6" w14:textId="77777777" w:rsidR="00064002" w:rsidRPr="00EC26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9B220" w14:textId="77777777" w:rsidR="00064002" w:rsidRPr="00EC26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21DF4" w14:textId="77777777" w:rsidR="00064002" w:rsidRPr="00EC26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3F64B" w14:textId="77777777" w:rsidR="00046DD8" w:rsidRPr="00EC26B7" w:rsidRDefault="00046DD8">
      <w:r w:rsidRPr="00EC26B7">
        <w:separator/>
      </w:r>
    </w:p>
  </w:footnote>
  <w:footnote w:type="continuationSeparator" w:id="0">
    <w:p w14:paraId="1AB4C407" w14:textId="77777777" w:rsidR="00046DD8" w:rsidRPr="00EC26B7" w:rsidRDefault="00046DD8">
      <w:r w:rsidRPr="00EC26B7">
        <w:continuationSeparator/>
      </w:r>
    </w:p>
  </w:footnote>
  <w:footnote w:id="1">
    <w:p w14:paraId="0AD23883" w14:textId="4B42E8A2" w:rsidR="00BF1E06" w:rsidRPr="00EB0EA6" w:rsidRDefault="00BF1E06" w:rsidP="00EB0EA6">
      <w:pPr>
        <w:pStyle w:val="FootnoteText"/>
        <w:ind w:left="567" w:hanging="567"/>
        <w:rPr>
          <w:sz w:val="24"/>
          <w:szCs w:val="24"/>
          <w:lang w:val="hr-HR"/>
        </w:rPr>
      </w:pPr>
      <w:r w:rsidRPr="00EB0EA6">
        <w:rPr>
          <w:rStyle w:val="FootnoteReference"/>
          <w:sz w:val="24"/>
          <w:szCs w:val="24"/>
        </w:rPr>
        <w:footnoteRef/>
      </w:r>
      <w:r w:rsidRPr="00EB0EA6">
        <w:rPr>
          <w:sz w:val="24"/>
          <w:szCs w:val="24"/>
          <w:lang w:val="fi-FI"/>
        </w:rPr>
        <w:t xml:space="preserve"> </w:t>
      </w:r>
      <w:r w:rsidRPr="00EB0EA6">
        <w:rPr>
          <w:sz w:val="24"/>
          <w:szCs w:val="24"/>
          <w:lang w:val="fi-FI"/>
        </w:rPr>
        <w:tab/>
      </w:r>
      <w:r w:rsidR="00D11116">
        <w:rPr>
          <w:sz w:val="24"/>
          <w:szCs w:val="24"/>
          <w:lang w:val="fi-FI"/>
        </w:rPr>
        <w:t>SL</w:t>
      </w:r>
      <w:r w:rsidRPr="00EB0EA6">
        <w:rPr>
          <w:sz w:val="24"/>
          <w:szCs w:val="24"/>
          <w:lang w:val="fi-FI"/>
        </w:rPr>
        <w:t xml:space="preserve"> C, C/2024/886, 6.2.2024</w:t>
      </w:r>
      <w:r w:rsidR="00EE38AB" w:rsidRPr="007461A5">
        <w:rPr>
          <w:sz w:val="24"/>
          <w:szCs w:val="24"/>
          <w:lang w:val="fi-FI"/>
        </w:rPr>
        <w:t>.</w:t>
      </w:r>
      <w:r w:rsidRPr="00EB0EA6">
        <w:rPr>
          <w:sz w:val="24"/>
          <w:szCs w:val="24"/>
          <w:lang w:val="fi-FI"/>
        </w:rPr>
        <w:t xml:space="preserve">, ELI: </w:t>
      </w:r>
      <w:hyperlink r:id="rId1" w:history="1">
        <w:r w:rsidRPr="00EB0EA6">
          <w:rPr>
            <w:rStyle w:val="Hyperlink"/>
            <w:sz w:val="24"/>
            <w:szCs w:val="24"/>
            <w:lang w:val="fi-FI"/>
          </w:rPr>
          <w:t>http://data.europa.eu/eli/C/2024/886/oj</w:t>
        </w:r>
      </w:hyperlink>
      <w:r w:rsidRPr="00EB0EA6">
        <w:rPr>
          <w:sz w:val="24"/>
          <w:szCs w:val="24"/>
          <w:lang w:val="fi-FI"/>
        </w:rPr>
        <w:t>.</w:t>
      </w:r>
    </w:p>
  </w:footnote>
  <w:footnote w:id="2">
    <w:p w14:paraId="1F4F6AE5" w14:textId="0D75385F" w:rsidR="00BF1E06" w:rsidRPr="00EB0EA6" w:rsidRDefault="00BF1E06" w:rsidP="00EB0EA6">
      <w:pPr>
        <w:pStyle w:val="FootnoteText"/>
        <w:ind w:left="567" w:hanging="567"/>
        <w:rPr>
          <w:sz w:val="24"/>
          <w:szCs w:val="24"/>
          <w:lang w:val="hr-HR"/>
        </w:rPr>
      </w:pPr>
      <w:r w:rsidRPr="00EB0EA6">
        <w:rPr>
          <w:rStyle w:val="FootnoteReference"/>
          <w:sz w:val="24"/>
          <w:szCs w:val="24"/>
        </w:rPr>
        <w:footnoteRef/>
      </w:r>
      <w:r w:rsidRPr="00EB0EA6">
        <w:rPr>
          <w:sz w:val="24"/>
          <w:szCs w:val="24"/>
          <w:lang w:val="fi-FI"/>
        </w:rPr>
        <w:t xml:space="preserve"> </w:t>
      </w:r>
      <w:r w:rsidRPr="00EB0EA6">
        <w:rPr>
          <w:sz w:val="24"/>
          <w:szCs w:val="24"/>
          <w:lang w:val="fi-FI"/>
        </w:rPr>
        <w:tab/>
      </w:r>
      <w:r w:rsidR="00D11116">
        <w:rPr>
          <w:sz w:val="24"/>
          <w:szCs w:val="24"/>
          <w:lang w:val="fi-FI"/>
        </w:rPr>
        <w:t>SL</w:t>
      </w:r>
      <w:r w:rsidRPr="00EB0EA6">
        <w:rPr>
          <w:sz w:val="24"/>
          <w:szCs w:val="24"/>
          <w:lang w:val="fi-FI"/>
        </w:rPr>
        <w:t xml:space="preserve"> C, C/2024/1048, 9.2.2024</w:t>
      </w:r>
      <w:r w:rsidR="00EE38AB" w:rsidRPr="007461A5">
        <w:rPr>
          <w:sz w:val="24"/>
          <w:szCs w:val="24"/>
          <w:lang w:val="fi-FI"/>
        </w:rPr>
        <w:t>.</w:t>
      </w:r>
      <w:r w:rsidRPr="00EB0EA6">
        <w:rPr>
          <w:sz w:val="24"/>
          <w:szCs w:val="24"/>
          <w:lang w:val="fi-FI"/>
        </w:rPr>
        <w:t xml:space="preserve">, ELI: </w:t>
      </w:r>
      <w:hyperlink r:id="rId2" w:history="1">
        <w:r w:rsidRPr="00EB0EA6">
          <w:rPr>
            <w:rStyle w:val="Hyperlink"/>
            <w:sz w:val="24"/>
            <w:szCs w:val="24"/>
            <w:lang w:val="fi-FI"/>
          </w:rPr>
          <w:t>http://data.europa.eu/eli/C/2024/1048/oj</w:t>
        </w:r>
      </w:hyperlink>
      <w:r w:rsidRPr="00EB0EA6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4B85F" w14:textId="77777777" w:rsidR="00064002" w:rsidRPr="00EC26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91A59" w14:textId="77777777" w:rsidR="00064002" w:rsidRPr="00EC26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E833B" w14:textId="77777777" w:rsidR="00064002" w:rsidRPr="00EC26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258295285">
    <w:abstractNumId w:val="2"/>
  </w:num>
  <w:num w:numId="2" w16cid:durableId="1837381705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1120805175">
    <w:abstractNumId w:val="12"/>
  </w:num>
  <w:num w:numId="24" w16cid:durableId="394620040">
    <w:abstractNumId w:val="24"/>
  </w:num>
  <w:num w:numId="25" w16cid:durableId="676540896">
    <w:abstractNumId w:val="4"/>
  </w:num>
  <w:num w:numId="26" w16cid:durableId="2121102845">
    <w:abstractNumId w:val="8"/>
  </w:num>
  <w:num w:numId="27" w16cid:durableId="472244">
    <w:abstractNumId w:val="38"/>
  </w:num>
  <w:num w:numId="28" w16cid:durableId="56824613">
    <w:abstractNumId w:val="5"/>
  </w:num>
  <w:num w:numId="29" w16cid:durableId="636691141">
    <w:abstractNumId w:val="18"/>
  </w:num>
  <w:num w:numId="30" w16cid:durableId="1260260269">
    <w:abstractNumId w:val="21"/>
  </w:num>
  <w:num w:numId="31" w16cid:durableId="548683377">
    <w:abstractNumId w:val="20"/>
  </w:num>
  <w:num w:numId="32" w16cid:durableId="1722947903">
    <w:abstractNumId w:val="37"/>
  </w:num>
  <w:num w:numId="33" w16cid:durableId="838932580">
    <w:abstractNumId w:val="14"/>
  </w:num>
  <w:num w:numId="34" w16cid:durableId="1484544468">
    <w:abstractNumId w:val="15"/>
  </w:num>
  <w:num w:numId="35" w16cid:durableId="1130898363">
    <w:abstractNumId w:val="16"/>
  </w:num>
  <w:num w:numId="36" w16cid:durableId="1763187034">
    <w:abstractNumId w:val="19"/>
  </w:num>
  <w:num w:numId="37" w16cid:durableId="1433164238">
    <w:abstractNumId w:val="34"/>
  </w:num>
  <w:num w:numId="38" w16cid:durableId="490677060">
    <w:abstractNumId w:val="33"/>
  </w:num>
  <w:num w:numId="39" w16cid:durableId="867566755">
    <w:abstractNumId w:val="3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HR"/>
    <w:docVar w:name="dvnumam" w:val="251"/>
    <w:docVar w:name="dvpe" w:val="753.573"/>
    <w:docVar w:name="dvrapporteur" w:val="Izvjestiteljica: "/>
    <w:docVar w:name="dvstar" w:val="***I"/>
    <w:docVar w:name="dvtitre" w:val="Zakonodavna rezolucija Europskog parlamenta od .... 2026. o Prijedlogu direktive Europskog Parlamenta i Vijeća o borbi protiv korupcije, zamjeni Okvirne odluke Vijeća 2003/568/PUP i Konvencije o borbi protiv korupcije koja uključuje dužnosnike Europskih zajednica ili dužnosnike država članica Europske unije te o izmjeni Direktive (EU) 2017/1371 Europskog parlamenta i Vijeća(COM(2023)0234 – C9-0162/2023 – 2023/0135(COD))"/>
  </w:docVars>
  <w:rsids>
    <w:rsidRoot w:val="00046DD8"/>
    <w:rsid w:val="00002272"/>
    <w:rsid w:val="00046DD8"/>
    <w:rsid w:val="00064002"/>
    <w:rsid w:val="000677B9"/>
    <w:rsid w:val="000831BA"/>
    <w:rsid w:val="000A42CC"/>
    <w:rsid w:val="000E7DD9"/>
    <w:rsid w:val="0010095E"/>
    <w:rsid w:val="00120EA5"/>
    <w:rsid w:val="0012316F"/>
    <w:rsid w:val="00125B37"/>
    <w:rsid w:val="00161434"/>
    <w:rsid w:val="00187494"/>
    <w:rsid w:val="00192EB3"/>
    <w:rsid w:val="001F32AE"/>
    <w:rsid w:val="002767FF"/>
    <w:rsid w:val="00292985"/>
    <w:rsid w:val="002B18FE"/>
    <w:rsid w:val="002B5493"/>
    <w:rsid w:val="00343214"/>
    <w:rsid w:val="00361C00"/>
    <w:rsid w:val="00377748"/>
    <w:rsid w:val="00395FA1"/>
    <w:rsid w:val="0039661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6FD"/>
    <w:rsid w:val="0050193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3C52"/>
    <w:rsid w:val="00680577"/>
    <w:rsid w:val="00696426"/>
    <w:rsid w:val="006F74FA"/>
    <w:rsid w:val="00731ADD"/>
    <w:rsid w:val="00734777"/>
    <w:rsid w:val="007461A5"/>
    <w:rsid w:val="00747932"/>
    <w:rsid w:val="00751A4A"/>
    <w:rsid w:val="00756632"/>
    <w:rsid w:val="00762C74"/>
    <w:rsid w:val="00786EC0"/>
    <w:rsid w:val="007D1690"/>
    <w:rsid w:val="007E22AD"/>
    <w:rsid w:val="007E550E"/>
    <w:rsid w:val="00817416"/>
    <w:rsid w:val="00842779"/>
    <w:rsid w:val="00865F67"/>
    <w:rsid w:val="00881A7B"/>
    <w:rsid w:val="008840E5"/>
    <w:rsid w:val="00887B3E"/>
    <w:rsid w:val="008C2AC6"/>
    <w:rsid w:val="008E3059"/>
    <w:rsid w:val="008E5F4E"/>
    <w:rsid w:val="00906164"/>
    <w:rsid w:val="00930C23"/>
    <w:rsid w:val="0093193B"/>
    <w:rsid w:val="009509D8"/>
    <w:rsid w:val="00950B64"/>
    <w:rsid w:val="00981893"/>
    <w:rsid w:val="009A4285"/>
    <w:rsid w:val="00A1687D"/>
    <w:rsid w:val="00A217F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8A1"/>
    <w:rsid w:val="00BB00D6"/>
    <w:rsid w:val="00BD48FE"/>
    <w:rsid w:val="00BD7BD8"/>
    <w:rsid w:val="00BE6ADC"/>
    <w:rsid w:val="00BF1E06"/>
    <w:rsid w:val="00C05BFE"/>
    <w:rsid w:val="00C23C54"/>
    <w:rsid w:val="00C23CD4"/>
    <w:rsid w:val="00C61C0C"/>
    <w:rsid w:val="00C941CB"/>
    <w:rsid w:val="00CA2370"/>
    <w:rsid w:val="00CC2357"/>
    <w:rsid w:val="00CF071A"/>
    <w:rsid w:val="00D058B8"/>
    <w:rsid w:val="00D11116"/>
    <w:rsid w:val="00D56C11"/>
    <w:rsid w:val="00D61093"/>
    <w:rsid w:val="00D834A0"/>
    <w:rsid w:val="00D872DF"/>
    <w:rsid w:val="00D91E21"/>
    <w:rsid w:val="00DA7FCD"/>
    <w:rsid w:val="00DE11F6"/>
    <w:rsid w:val="00DF5176"/>
    <w:rsid w:val="00E365E1"/>
    <w:rsid w:val="00E820A4"/>
    <w:rsid w:val="00EB006A"/>
    <w:rsid w:val="00EB0EA6"/>
    <w:rsid w:val="00EB4772"/>
    <w:rsid w:val="00EC26B7"/>
    <w:rsid w:val="00ED169E"/>
    <w:rsid w:val="00ED4235"/>
    <w:rsid w:val="00EE38AB"/>
    <w:rsid w:val="00F04346"/>
    <w:rsid w:val="00F075DC"/>
    <w:rsid w:val="00F149E9"/>
    <w:rsid w:val="00F5134D"/>
    <w:rsid w:val="00F74202"/>
    <w:rsid w:val="00F853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9B11BA"/>
  <w15:chartTrackingRefBased/>
  <w15:docId w15:val="{B4503407-86F1-4990-9D00-00990DF56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List Bullet 2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92EB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192EB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192EB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192EB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EB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EB3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EB3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EB3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EB3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192EB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92EB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92EB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92EB3"/>
    <w:pPr>
      <w:spacing w:after="120"/>
    </w:pPr>
  </w:style>
  <w:style w:type="paragraph" w:customStyle="1" w:styleId="PageHeading">
    <w:name w:val="PageHeading"/>
    <w:basedOn w:val="Normal"/>
    <w:rsid w:val="00192EB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92EB3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192EB3"/>
    <w:rPr>
      <w:b/>
      <w:sz w:val="24"/>
      <w:lang w:val="hr-HR"/>
    </w:rPr>
  </w:style>
  <w:style w:type="paragraph" w:customStyle="1" w:styleId="NormalBold12a">
    <w:name w:val="NormalBold12a"/>
    <w:basedOn w:val="Normal"/>
    <w:rsid w:val="00192EB3"/>
    <w:pPr>
      <w:spacing w:after="240"/>
    </w:pPr>
    <w:rPr>
      <w:b/>
    </w:rPr>
  </w:style>
  <w:style w:type="paragraph" w:customStyle="1" w:styleId="AmJustText">
    <w:name w:val="AmJustText"/>
    <w:basedOn w:val="Normal"/>
    <w:rsid w:val="00192EB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92EB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92EB3"/>
    <w:pPr>
      <w:spacing w:after="480"/>
      <w:ind w:left="1417"/>
    </w:pPr>
  </w:style>
  <w:style w:type="paragraph" w:customStyle="1" w:styleId="CoverNormal">
    <w:name w:val="CoverNormal"/>
    <w:basedOn w:val="Normal"/>
    <w:rsid w:val="00192EB3"/>
    <w:pPr>
      <w:ind w:left="1418"/>
    </w:pPr>
  </w:style>
  <w:style w:type="paragraph" w:customStyle="1" w:styleId="AmCrossRef">
    <w:name w:val="AmCrossRef"/>
    <w:basedOn w:val="Normal"/>
    <w:rsid w:val="00192EB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92EB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92EB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92EB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92EB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92EB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92E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2EB3"/>
    <w:rPr>
      <w:sz w:val="24"/>
      <w:lang w:val="hr-HR"/>
    </w:rPr>
  </w:style>
  <w:style w:type="paragraph" w:customStyle="1" w:styleId="AmOrLang">
    <w:name w:val="AmOrLang"/>
    <w:basedOn w:val="Normal"/>
    <w:rsid w:val="00192EB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92EB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92EB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192EB3"/>
    <w:rPr>
      <w:b/>
      <w:sz w:val="24"/>
      <w:lang w:val="hr-HR"/>
    </w:rPr>
  </w:style>
  <w:style w:type="paragraph" w:customStyle="1" w:styleId="NormalBold12b">
    <w:name w:val="NormalBold12b"/>
    <w:basedOn w:val="Normal"/>
    <w:link w:val="NormalBold12bChar"/>
    <w:rsid w:val="00192EB3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192EB3"/>
    <w:rPr>
      <w:b/>
      <w:sz w:val="24"/>
      <w:lang w:val="hr-HR"/>
    </w:rPr>
  </w:style>
  <w:style w:type="paragraph" w:customStyle="1" w:styleId="EPBody">
    <w:name w:val="EPBody"/>
    <w:basedOn w:val="Normal"/>
    <w:rsid w:val="00192EB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92E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92EB3"/>
    <w:pPr>
      <w:spacing w:before="480" w:after="240"/>
    </w:pPr>
  </w:style>
  <w:style w:type="paragraph" w:customStyle="1" w:styleId="Lgendesigne">
    <w:name w:val="Légende signe"/>
    <w:basedOn w:val="Normal"/>
    <w:rsid w:val="00192EB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92EB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92EB3"/>
    <w:rPr>
      <w:sz w:val="18"/>
    </w:rPr>
  </w:style>
  <w:style w:type="paragraph" w:customStyle="1" w:styleId="msonormal0">
    <w:name w:val="msonormal"/>
    <w:basedOn w:val="Normal"/>
    <w:rsid w:val="00192EB3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192EB3"/>
    <w:rPr>
      <w:noProof/>
      <w:sz w:val="24"/>
    </w:rPr>
  </w:style>
  <w:style w:type="paragraph" w:customStyle="1" w:styleId="Normal12">
    <w:name w:val="Normal12"/>
    <w:basedOn w:val="Normal"/>
    <w:link w:val="Normal12Char"/>
    <w:rsid w:val="00192EB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192EB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92EB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92EB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92EB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92EB3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192EB3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192EB3"/>
    <w:pPr>
      <w:spacing w:after="120"/>
    </w:pPr>
  </w:style>
  <w:style w:type="paragraph" w:customStyle="1" w:styleId="Normal12Italic">
    <w:name w:val="Normal12Italic"/>
    <w:basedOn w:val="Normal12"/>
    <w:rsid w:val="00192EB3"/>
    <w:rPr>
      <w:i/>
    </w:rPr>
  </w:style>
  <w:style w:type="paragraph" w:customStyle="1" w:styleId="JustificationTitle">
    <w:name w:val="JustificationTitle"/>
    <w:basedOn w:val="Normal"/>
    <w:next w:val="Normal12"/>
    <w:rsid w:val="00192EB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192EB3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192EB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92EB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92EB3"/>
    <w:pPr>
      <w:spacing w:before="240"/>
      <w:jc w:val="center"/>
    </w:pPr>
    <w:rPr>
      <w:i/>
    </w:rPr>
  </w:style>
  <w:style w:type="character" w:customStyle="1" w:styleId="Footer2Middle">
    <w:name w:val="Footer2Middle"/>
    <w:rsid w:val="00192EB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192EB3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192E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92EB3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uiPriority w:val="99"/>
    <w:rsid w:val="00192E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2EB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2EB3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92E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92EB3"/>
    <w:rPr>
      <w:b/>
      <w:bCs/>
      <w:lang w:val="hr-HR"/>
    </w:rPr>
  </w:style>
  <w:style w:type="paragraph" w:customStyle="1" w:styleId="Normal1">
    <w:name w:val="Normal1"/>
    <w:basedOn w:val="Normal"/>
    <w:rsid w:val="00192EB3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192EB3"/>
    <w:rPr>
      <w:sz w:val="24"/>
      <w:lang w:val="hr-HR"/>
    </w:rPr>
  </w:style>
  <w:style w:type="paragraph" w:customStyle="1" w:styleId="Normal24a">
    <w:name w:val="Normal24a"/>
    <w:basedOn w:val="Normal"/>
    <w:rsid w:val="00192EB3"/>
    <w:pPr>
      <w:spacing w:after="480"/>
    </w:pPr>
  </w:style>
  <w:style w:type="paragraph" w:customStyle="1" w:styleId="NormalBoldCenter">
    <w:name w:val="NormalBoldCenter"/>
    <w:basedOn w:val="Normal"/>
    <w:rsid w:val="00192EB3"/>
    <w:pPr>
      <w:jc w:val="center"/>
    </w:pPr>
    <w:rPr>
      <w:b/>
    </w:rPr>
  </w:style>
  <w:style w:type="paragraph" w:customStyle="1" w:styleId="Normal12a">
    <w:name w:val="Normal12a"/>
    <w:basedOn w:val="Normal"/>
    <w:rsid w:val="00192EB3"/>
    <w:pPr>
      <w:spacing w:after="240"/>
    </w:pPr>
  </w:style>
  <w:style w:type="paragraph" w:customStyle="1" w:styleId="PageHeadingNotTOC">
    <w:name w:val="PageHeadingNotTOC"/>
    <w:basedOn w:val="Normal"/>
    <w:rsid w:val="00192EB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92EB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192EB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92EB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92EB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92EB3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192EB3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rsid w:val="00192E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2EB3"/>
    <w:rPr>
      <w:sz w:val="24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BF1E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F1E06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DE11F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E11F6"/>
    <w:pPr>
      <w:spacing w:after="240"/>
      <w:jc w:val="center"/>
    </w:pPr>
  </w:style>
  <w:style w:type="paragraph" w:customStyle="1" w:styleId="AmDateTab">
    <w:name w:val="AmDateTab"/>
    <w:basedOn w:val="Normal"/>
    <w:rsid w:val="00DE11F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E11F6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E11F6"/>
  </w:style>
  <w:style w:type="paragraph" w:customStyle="1" w:styleId="NormalCentered">
    <w:name w:val="Normal Centered"/>
    <w:basedOn w:val="Normal"/>
    <w:rsid w:val="00DE11F6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DE11F6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DE11F6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DE11F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DE11F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DE11F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E11F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DE11F6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DE11F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DE11F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DE11F6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DE11F6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DE11F6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DE11F6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DE11F6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DE11F6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DE11F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DE11F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DE11F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DE11F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DE11F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DE11F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DE11F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DE11F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DE11F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DE11F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DE11F6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DE11F6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DE11F6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DE11F6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DE11F6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DE11F6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DE11F6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DE11F6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DE11F6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DE11F6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DE11F6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DE11F6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DE11F6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DE11F6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DE11F6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DE11F6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DE11F6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DE11F6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DE11F6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DE11F6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DE11F6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DE11F6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DE11F6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DE11F6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DE11F6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DE11F6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DE11F6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DE11F6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DE11F6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DE11F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E11F6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DE11F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DE11F6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DE11F6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DE11F6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DE11F6"/>
    <w:pPr>
      <w:jc w:val="center"/>
    </w:pPr>
  </w:style>
  <w:style w:type="paragraph" w:customStyle="1" w:styleId="Jardin">
    <w:name w:val="Jardin"/>
    <w:basedOn w:val="Normal"/>
    <w:rsid w:val="00DE11F6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DE11F6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DE11F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DE11F6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DE11F6"/>
    <w:rPr>
      <w:b/>
    </w:rPr>
  </w:style>
  <w:style w:type="paragraph" w:customStyle="1" w:styleId="Annex">
    <w:name w:val="Annex"/>
    <w:basedOn w:val="Normal"/>
    <w:next w:val="Normal"/>
    <w:rsid w:val="00DE11F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DE11F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DE11F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DE11F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E11F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DE11F6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DE11F6"/>
  </w:style>
  <w:style w:type="character" w:styleId="EndnoteReference">
    <w:name w:val="endnote reference"/>
    <w:basedOn w:val="DefaultParagraphFont"/>
    <w:uiPriority w:val="99"/>
    <w:unhideWhenUsed/>
    <w:rsid w:val="00DE11F6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DE11F6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link w:val="EntReferChar"/>
    <w:rsid w:val="00DE11F6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E11F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E11F6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DE11F6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DE11F6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DE11F6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DE11F6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E11F6"/>
    <w:rPr>
      <w:rFonts w:ascii="Arial" w:hAnsi="Arial" w:cs="Arial"/>
      <w:b/>
      <w:sz w:val="23"/>
      <w:u w:color="606060"/>
      <w:lang w:val="hr-HR" w:eastAsia="fr-BE"/>
    </w:rPr>
  </w:style>
  <w:style w:type="paragraph" w:customStyle="1" w:styleId="TBSubjectTable">
    <w:name w:val="TBSubjectTable"/>
    <w:basedOn w:val="TechnicalBlockBase"/>
    <w:rsid w:val="00DE11F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DE11F6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DE11F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E11F6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r-HR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DE11F6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r-HR" w:eastAsia="fr-BE"/>
    </w:rPr>
  </w:style>
  <w:style w:type="paragraph" w:customStyle="1" w:styleId="HeaderCouncilLarge">
    <w:name w:val="Header Council Large"/>
    <w:basedOn w:val="Normal"/>
    <w:link w:val="HeaderCouncilLargeChar"/>
    <w:rsid w:val="00DE11F6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DE11F6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hr-HR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DE11F6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hr-HR" w:eastAsia="fr-BE"/>
    </w:rPr>
  </w:style>
  <w:style w:type="paragraph" w:customStyle="1" w:styleId="FooterText">
    <w:name w:val="Footer Text"/>
    <w:basedOn w:val="Normal"/>
    <w:rsid w:val="00DE11F6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E11F6"/>
    <w:rPr>
      <w:color w:val="808080"/>
    </w:rPr>
  </w:style>
  <w:style w:type="paragraph" w:customStyle="1" w:styleId="Title1">
    <w:name w:val="Title1"/>
    <w:basedOn w:val="Normal"/>
    <w:next w:val="Normal"/>
    <w:uiPriority w:val="10"/>
    <w:qFormat/>
    <w:rsid w:val="00DE11F6"/>
    <w:pPr>
      <w:widowControl/>
      <w:spacing w:before="120" w:after="80" w:line="360" w:lineRule="auto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E11F6"/>
    <w:rPr>
      <w:rFonts w:ascii="Cambria" w:hAnsi="Cambria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DE11F6"/>
    <w:pPr>
      <w:widowControl/>
      <w:numPr>
        <w:ilvl w:val="1"/>
      </w:numPr>
      <w:spacing w:before="120" w:after="160" w:line="259" w:lineRule="auto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E11F6"/>
    <w:rPr>
      <w:color w:val="595959"/>
      <w:spacing w:val="15"/>
      <w:kern w:val="2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DE11F6"/>
    <w:pPr>
      <w:widowControl/>
      <w:spacing w:before="160" w:after="160" w:line="259" w:lineRule="auto"/>
      <w:jc w:val="center"/>
    </w:pPr>
    <w:rPr>
      <w:rFonts w:ascii="Calibri" w:eastAsia="Calibri" w:hAnsi="Calibri" w:cs="Arial"/>
      <w:i/>
      <w:iCs/>
      <w:color w:val="404040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E11F6"/>
    <w:rPr>
      <w:i/>
      <w:iCs/>
      <w:color w:val="404040"/>
      <w:kern w:val="2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DE11F6"/>
    <w:pPr>
      <w:widowControl/>
      <w:spacing w:before="120"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DE11F6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DE11F6"/>
    <w:pPr>
      <w:widowControl/>
      <w:pBdr>
        <w:top w:val="single" w:sz="4" w:space="10" w:color="365F91"/>
        <w:bottom w:val="single" w:sz="4" w:space="10" w:color="365F91"/>
      </w:pBdr>
      <w:spacing w:before="360" w:after="360" w:line="259" w:lineRule="auto"/>
      <w:ind w:left="864" w:right="864"/>
      <w:jc w:val="center"/>
    </w:pPr>
    <w:rPr>
      <w:rFonts w:ascii="Calibri" w:eastAsia="Calibri" w:hAnsi="Calibri" w:cs="Arial"/>
      <w:i/>
      <w:iCs/>
      <w:color w:val="365F91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1F6"/>
    <w:rPr>
      <w:i/>
      <w:iCs/>
      <w:color w:val="365F91"/>
      <w:kern w:val="2"/>
    </w:rPr>
  </w:style>
  <w:style w:type="character" w:customStyle="1" w:styleId="IntenseReference1">
    <w:name w:val="Intense Reference1"/>
    <w:basedOn w:val="DefaultParagraphFont"/>
    <w:uiPriority w:val="32"/>
    <w:qFormat/>
    <w:rsid w:val="00DE11F6"/>
    <w:rPr>
      <w:b/>
      <w:bCs/>
      <w:smallCaps/>
      <w:color w:val="365F91"/>
      <w:spacing w:val="5"/>
    </w:rPr>
  </w:style>
  <w:style w:type="character" w:customStyle="1" w:styleId="EntReferChar">
    <w:name w:val="EntRefer Char"/>
    <w:basedOn w:val="DefaultParagraphFont"/>
    <w:link w:val="TBEntRefer"/>
    <w:rsid w:val="00DE11F6"/>
    <w:rPr>
      <w:rFonts w:ascii="Arial" w:hAnsi="Arial" w:cs="Arial"/>
      <w:b/>
      <w:sz w:val="23"/>
      <w:u w:color="606060"/>
      <w:lang w:val="hr-HR" w:eastAsia="fr-BE"/>
    </w:rPr>
  </w:style>
  <w:style w:type="paragraph" w:customStyle="1" w:styleId="TBDistrbMarkers">
    <w:name w:val="TBDistrbMarkers"/>
    <w:basedOn w:val="TBEntRefer"/>
    <w:qFormat/>
    <w:rsid w:val="00DE11F6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DE11F6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DE11F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DocumentGroup">
    <w:name w:val="TBDocumentGroup"/>
    <w:basedOn w:val="TechnicalBlockBase"/>
    <w:rsid w:val="00DE11F6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SubjectBold">
    <w:name w:val="TBSubjectBold"/>
    <w:basedOn w:val="TechnicalBlockBase"/>
    <w:rsid w:val="00DE11F6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DE11F6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DE11F6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TechnicalBlockChar">
    <w:name w:val="Technical Block Char"/>
    <w:basedOn w:val="DefaultParagraphFont"/>
    <w:rsid w:val="00DE11F6"/>
    <w:rPr>
      <w:rFonts w:ascii="Times New Roman" w:hAnsi="Times New Roman" w:cs="Times New Roman"/>
      <w:sz w:val="24"/>
      <w:lang w:val="hr-HR"/>
    </w:rPr>
  </w:style>
  <w:style w:type="paragraph" w:customStyle="1" w:styleId="Revision1">
    <w:name w:val="Revision1"/>
    <w:next w:val="Revision"/>
    <w:hidden/>
    <w:uiPriority w:val="99"/>
    <w:semiHidden/>
    <w:rsid w:val="00DE11F6"/>
    <w:rPr>
      <w:rFonts w:eastAsia="Calibri"/>
      <w:sz w:val="24"/>
      <w:szCs w:val="22"/>
      <w:lang w:val="hr-HR"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DE11F6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title-bold">
    <w:name w:val="title-bold"/>
    <w:basedOn w:val="Normal"/>
    <w:rsid w:val="00DE11F6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styleId="NormalWeb">
    <w:name w:val="Normal (Web)"/>
    <w:basedOn w:val="Normal"/>
    <w:uiPriority w:val="99"/>
    <w:unhideWhenUsed/>
    <w:rsid w:val="00DE11F6"/>
    <w:pPr>
      <w:widowControl/>
      <w:spacing w:before="100" w:beforeAutospacing="1" w:after="100" w:afterAutospacing="1"/>
    </w:pPr>
    <w:rPr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DE11F6"/>
    <w:rPr>
      <w:i/>
      <w:iCs/>
    </w:rPr>
  </w:style>
  <w:style w:type="paragraph" w:customStyle="1" w:styleId="NoSpacing1">
    <w:name w:val="No Spacing1"/>
    <w:next w:val="NoSpacing"/>
    <w:uiPriority w:val="1"/>
    <w:qFormat/>
    <w:rsid w:val="00DE11F6"/>
    <w:rPr>
      <w:rFonts w:eastAsia="Calibri"/>
      <w:sz w:val="24"/>
      <w:szCs w:val="22"/>
      <w:lang w:val="hr-HR" w:eastAsia="en-US"/>
    </w:rPr>
  </w:style>
  <w:style w:type="paragraph" w:customStyle="1" w:styleId="Manual">
    <w:name w:val="Manual"/>
    <w:basedOn w:val="Normal"/>
    <w:rsid w:val="00DE11F6"/>
    <w:pPr>
      <w:widowControl/>
      <w:spacing w:before="120" w:after="120" w:line="360" w:lineRule="auto"/>
    </w:pPr>
    <w:rPr>
      <w:rFonts w:eastAsia="Calibri"/>
      <w:noProof/>
      <w:szCs w:val="22"/>
      <w:lang w:eastAsia="en-US"/>
    </w:rPr>
  </w:style>
  <w:style w:type="paragraph" w:customStyle="1" w:styleId="Accordtitre">
    <w:name w:val="Accord titre"/>
    <w:basedOn w:val="Normal"/>
    <w:rsid w:val="00DE11F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DE11F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acte">
    <w:name w:val="Annexe titre (acte)"/>
    <w:basedOn w:val="Normal"/>
    <w:next w:val="Normal"/>
    <w:rsid w:val="00DE11F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DE11F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Normal"/>
    <w:rsid w:val="00DE11F6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DE11F6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DE11F6"/>
    <w:pPr>
      <w:widowControl/>
      <w:numPr>
        <w:numId w:val="24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E11F6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Considrant">
    <w:name w:val="Considérant"/>
    <w:basedOn w:val="Normal"/>
    <w:rsid w:val="00DE11F6"/>
    <w:pPr>
      <w:widowControl/>
      <w:numPr>
        <w:numId w:val="25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E11F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E11F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E11F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E11F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E11F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E11F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E11F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E11F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E11F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E11F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E11F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E11F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E11F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E11F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E11F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E11F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E11F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E11F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E11F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E11F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E11F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E11F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Normal"/>
    <w:rsid w:val="00DE11F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DE11F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DE11F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DE11F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DE11F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DE11F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EntACP">
    <w:name w:val="EntACP"/>
    <w:basedOn w:val="Normal"/>
    <w:rsid w:val="00DE11F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ASSOC">
    <w:name w:val="EntASSOC"/>
    <w:basedOn w:val="Normal"/>
    <w:rsid w:val="00DE11F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DE11F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DE11F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Instit">
    <w:name w:val="EntInstit"/>
    <w:basedOn w:val="Normal"/>
    <w:rsid w:val="00DE11F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InstitACP">
    <w:name w:val="EntInstitACP"/>
    <w:basedOn w:val="Normal"/>
    <w:rsid w:val="00DE11F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DE11F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DE11F6"/>
    <w:pPr>
      <w:widowControl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DE11F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Normal"/>
    <w:rsid w:val="00DE11F6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DE11F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DE11F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Normal"/>
    <w:rsid w:val="00DE11F6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E11F6"/>
    <w:pPr>
      <w:spacing w:before="240"/>
    </w:pPr>
  </w:style>
  <w:style w:type="paragraph" w:customStyle="1" w:styleId="Institutionquiagit">
    <w:name w:val="Institution qui agit"/>
    <w:basedOn w:val="Normal"/>
    <w:next w:val="Normal"/>
    <w:rsid w:val="00DE11F6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DE11F6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E11F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E11F6"/>
    <w:pPr>
      <w:spacing w:after="240"/>
    </w:pPr>
  </w:style>
  <w:style w:type="paragraph" w:customStyle="1" w:styleId="Lignefinal">
    <w:name w:val="Ligne final"/>
    <w:basedOn w:val="Normal"/>
    <w:next w:val="Normal"/>
    <w:rsid w:val="00DE11F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DE11F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ManualConsidrant">
    <w:name w:val="Manual Considérant"/>
    <w:basedOn w:val="Normal"/>
    <w:rsid w:val="00DE11F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E11F6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E11F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E11F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E11F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DE11F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DE11F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DE11F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E11F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E11F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E11F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E11F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E11F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E11F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E11F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DE11F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DE11F6"/>
    <w:pPr>
      <w:widowControl/>
      <w:numPr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DE11F6"/>
    <w:pPr>
      <w:widowControl/>
      <w:numPr>
        <w:ilvl w:val="1"/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DE11F6"/>
    <w:pPr>
      <w:widowControl/>
      <w:numPr>
        <w:ilvl w:val="2"/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DE11F6"/>
    <w:pPr>
      <w:widowControl/>
      <w:numPr>
        <w:ilvl w:val="3"/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DE11F6"/>
    <w:pPr>
      <w:widowControl/>
      <w:numPr>
        <w:ilvl w:val="4"/>
        <w:numId w:val="26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DE11F6"/>
    <w:pPr>
      <w:widowControl/>
      <w:numPr>
        <w:ilvl w:val="5"/>
        <w:numId w:val="26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DE11F6"/>
    <w:pPr>
      <w:widowControl/>
      <w:numPr>
        <w:ilvl w:val="6"/>
        <w:numId w:val="26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E11F6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E11F6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DE11F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DE11F6"/>
    <w:pPr>
      <w:widowControl/>
      <w:numPr>
        <w:ilvl w:val="1"/>
        <w:numId w:val="27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qFormat/>
    <w:rsid w:val="00DE11F6"/>
    <w:pPr>
      <w:widowControl/>
      <w:numPr>
        <w:numId w:val="27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DE11F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DE11F6"/>
    <w:pPr>
      <w:widowControl/>
      <w:numPr>
        <w:ilvl w:val="3"/>
        <w:numId w:val="27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DE11F6"/>
    <w:pPr>
      <w:widowControl/>
      <w:numPr>
        <w:ilvl w:val="2"/>
        <w:numId w:val="27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DE11F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DE11F6"/>
    <w:pPr>
      <w:widowControl/>
      <w:numPr>
        <w:ilvl w:val="5"/>
        <w:numId w:val="27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DE11F6"/>
    <w:pPr>
      <w:widowControl/>
      <w:numPr>
        <w:ilvl w:val="4"/>
        <w:numId w:val="27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DE11F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DE11F6"/>
    <w:pPr>
      <w:widowControl/>
      <w:numPr>
        <w:ilvl w:val="7"/>
        <w:numId w:val="27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DE11F6"/>
    <w:pPr>
      <w:widowControl/>
      <w:numPr>
        <w:ilvl w:val="6"/>
        <w:numId w:val="27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DE11F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DE11F6"/>
    <w:pPr>
      <w:widowControl/>
      <w:numPr>
        <w:ilvl w:val="8"/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DE11F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DE11F6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DE11F6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DE11F6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DE11F6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DE11F6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DE11F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DE11F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DE11F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DE11F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DE11F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DE11F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DE11F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DE11F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DE11F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DE11F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E11F6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Sous-titreobjet">
    <w:name w:val="Sous-titre objet"/>
    <w:basedOn w:val="Normal"/>
    <w:rsid w:val="00DE11F6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Normal"/>
    <w:rsid w:val="00DE11F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E11F6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ret0">
    <w:name w:val="Tiret 0"/>
    <w:basedOn w:val="Normal"/>
    <w:rsid w:val="00DE11F6"/>
    <w:pPr>
      <w:widowControl/>
      <w:numPr>
        <w:numId w:val="28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DE11F6"/>
    <w:pPr>
      <w:widowControl/>
      <w:numPr>
        <w:numId w:val="29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DE11F6"/>
    <w:pPr>
      <w:widowControl/>
      <w:numPr>
        <w:numId w:val="30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DE11F6"/>
    <w:pPr>
      <w:widowControl/>
      <w:numPr>
        <w:numId w:val="31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DE11F6"/>
    <w:pPr>
      <w:widowControl/>
      <w:numPr>
        <w:numId w:val="32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DE11F6"/>
    <w:pPr>
      <w:widowControl/>
      <w:numPr>
        <w:numId w:val="33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E11F6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E11F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DE11F6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DE11F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DE11F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DE11F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DE11F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DE11F6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DE11F6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DE11F6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DE11F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DE11F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DE11F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treobjetcp">
    <w:name w:val="titreobjet_cp"/>
    <w:basedOn w:val="Normal"/>
    <w:rsid w:val="00DE11F6"/>
    <w:pPr>
      <w:widowControl/>
      <w:spacing w:before="100" w:beforeAutospacing="1" w:after="100" w:afterAutospacing="1"/>
    </w:pPr>
    <w:rPr>
      <w:szCs w:val="24"/>
    </w:rPr>
  </w:style>
  <w:style w:type="paragraph" w:customStyle="1" w:styleId="Text7">
    <w:name w:val="Text 7"/>
    <w:basedOn w:val="Normal"/>
    <w:rsid w:val="00DE11F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DE11F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DE11F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DE11F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DE11F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DE11F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DE11F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DE11F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DE11F6"/>
    <w:pPr>
      <w:widowControl/>
      <w:numPr>
        <w:numId w:val="34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DE11F6"/>
    <w:pPr>
      <w:widowControl/>
      <w:numPr>
        <w:numId w:val="35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DE11F6"/>
    <w:pPr>
      <w:widowControl/>
      <w:numPr>
        <w:numId w:val="36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DE11F6"/>
    <w:pPr>
      <w:widowControl/>
      <w:numPr>
        <w:numId w:val="37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DE11F6"/>
    <w:pPr>
      <w:widowControl/>
      <w:numPr>
        <w:numId w:val="38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DE11F6"/>
    <w:pPr>
      <w:widowControl/>
      <w:numPr>
        <w:numId w:val="39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DE11F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r-HR" w:eastAsia="en-US"/>
    </w:rPr>
  </w:style>
  <w:style w:type="paragraph" w:customStyle="1" w:styleId="CommentFwdQuotedText">
    <w:name w:val="CommentFwdQuotedText"/>
    <w:basedOn w:val="Normal"/>
    <w:rsid w:val="00DE11F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DE11F6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DE11F6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DE11F6"/>
    <w:rPr>
      <w:color w:val="800080"/>
      <w:u w:val="single"/>
    </w:rPr>
  </w:style>
  <w:style w:type="paragraph" w:styleId="EndnoteText">
    <w:name w:val="endnote text"/>
    <w:basedOn w:val="Normal"/>
    <w:link w:val="EndnoteTextChar1"/>
    <w:rsid w:val="00DE11F6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DE11F6"/>
    <w:rPr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DE11F6"/>
    <w:pPr>
      <w:contextualSpacing/>
    </w:pPr>
    <w:rPr>
      <w:rFonts w:ascii="Cambria" w:hAnsi="Cambria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rsid w:val="00DE11F6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1F6"/>
    <w:pPr>
      <w:numPr>
        <w:ilvl w:val="1"/>
      </w:numPr>
      <w:spacing w:after="160"/>
    </w:pPr>
    <w:rPr>
      <w:color w:val="595959"/>
      <w:spacing w:val="15"/>
      <w:kern w:val="2"/>
      <w:sz w:val="28"/>
      <w:szCs w:val="28"/>
      <w:lang w:val="en-GB"/>
    </w:rPr>
  </w:style>
  <w:style w:type="character" w:customStyle="1" w:styleId="SubtitleChar1">
    <w:name w:val="Subtitle Char1"/>
    <w:basedOn w:val="DefaultParagraphFont"/>
    <w:rsid w:val="00DE11F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DE11F6"/>
    <w:pPr>
      <w:spacing w:before="200" w:after="160"/>
      <w:ind w:left="864" w:right="864"/>
      <w:jc w:val="center"/>
    </w:pPr>
    <w:rPr>
      <w:i/>
      <w:iCs/>
      <w:color w:val="404040"/>
      <w:kern w:val="2"/>
      <w:sz w:val="20"/>
      <w:lang w:val="en-GB"/>
    </w:rPr>
  </w:style>
  <w:style w:type="character" w:customStyle="1" w:styleId="QuoteChar1">
    <w:name w:val="Quote Char1"/>
    <w:basedOn w:val="DefaultParagraphFont"/>
    <w:uiPriority w:val="29"/>
    <w:rsid w:val="00DE11F6"/>
    <w:rPr>
      <w:i/>
      <w:iCs/>
      <w:color w:val="404040" w:themeColor="text1" w:themeTint="BF"/>
      <w:sz w:val="24"/>
      <w:lang w:val="hr-HR"/>
    </w:rPr>
  </w:style>
  <w:style w:type="paragraph" w:styleId="ListParagraph">
    <w:name w:val="List Paragraph"/>
    <w:basedOn w:val="Normal"/>
    <w:uiPriority w:val="34"/>
    <w:qFormat/>
    <w:rsid w:val="00DE11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1F6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1F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kern w:val="2"/>
      <w:sz w:val="20"/>
      <w:lang w:val="en-GB"/>
    </w:rPr>
  </w:style>
  <w:style w:type="character" w:customStyle="1" w:styleId="IntenseQuoteChar1">
    <w:name w:val="Intense Quote Char1"/>
    <w:basedOn w:val="DefaultParagraphFont"/>
    <w:uiPriority w:val="30"/>
    <w:rsid w:val="00DE11F6"/>
    <w:rPr>
      <w:i/>
      <w:iCs/>
      <w:color w:val="5B9BD5" w:themeColor="accent1"/>
      <w:sz w:val="24"/>
      <w:lang w:val="hr-HR"/>
    </w:rPr>
  </w:style>
  <w:style w:type="character" w:styleId="IntenseReference">
    <w:name w:val="Intense Reference"/>
    <w:basedOn w:val="DefaultParagraphFont"/>
    <w:uiPriority w:val="32"/>
    <w:qFormat/>
    <w:rsid w:val="00DE11F6"/>
    <w:rPr>
      <w:b/>
      <w:bCs/>
      <w:smallCaps/>
      <w:color w:val="5B9BD5" w:themeColor="accent1"/>
      <w:spacing w:val="5"/>
    </w:rPr>
  </w:style>
  <w:style w:type="character" w:customStyle="1" w:styleId="CommentTextChar1">
    <w:name w:val="Comment Text Char1"/>
    <w:basedOn w:val="DefaultParagraphFont"/>
    <w:rsid w:val="00DE11F6"/>
    <w:rPr>
      <w:lang w:val="hr-HR"/>
    </w:rPr>
  </w:style>
  <w:style w:type="character" w:customStyle="1" w:styleId="CommentSubjectChar1">
    <w:name w:val="Comment Subject Char1"/>
    <w:basedOn w:val="CommentTextChar1"/>
    <w:rsid w:val="00DE11F6"/>
    <w:rPr>
      <w:b/>
      <w:bCs/>
      <w:lang w:val="hr-HR"/>
    </w:rPr>
  </w:style>
  <w:style w:type="character" w:customStyle="1" w:styleId="BalloonTextChar1">
    <w:name w:val="Balloon Text Char1"/>
    <w:basedOn w:val="DefaultParagraphFont"/>
    <w:rsid w:val="00DE11F6"/>
    <w:rPr>
      <w:rFonts w:ascii="Segoe UI" w:hAnsi="Segoe UI" w:cs="Segoe UI"/>
      <w:sz w:val="18"/>
      <w:szCs w:val="18"/>
      <w:lang w:val="hr-HR"/>
    </w:rPr>
  </w:style>
  <w:style w:type="paragraph" w:styleId="NoSpacing">
    <w:name w:val="No Spacing"/>
    <w:uiPriority w:val="1"/>
    <w:qFormat/>
    <w:rsid w:val="00DE11F6"/>
    <w:pPr>
      <w:widowControl w:val="0"/>
    </w:pPr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048/oj" TargetMode="External"/><Relationship Id="rId1" Type="http://schemas.openxmlformats.org/officeDocument/2006/relationships/hyperlink" Target="http://data.europa.eu/eli/C/2024/8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2608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2026-05-19T15:29:00Z</dcterms:created>
  <dcterms:modified xsi:type="dcterms:W3CDTF">2026-05-19T15:29:00Z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