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3724" w14:paraId="1B85EF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10538" w14:textId="77777777" w:rsidR="00751A4A" w:rsidRPr="00C23724" w:rsidRDefault="001D75F6" w:rsidP="0010095E">
            <w:pPr>
              <w:pStyle w:val="EPName"/>
            </w:pPr>
            <w:r w:rsidRPr="00C23724">
              <w:t>Európai Parlament</w:t>
            </w:r>
          </w:p>
          <w:p w14:paraId="14A1EBD2" w14:textId="481F1B1F" w:rsidR="00751A4A" w:rsidRPr="00C2372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3724">
              <w:t>20</w:t>
            </w:r>
            <w:r w:rsidR="00E465E2" w:rsidRPr="00C23724">
              <w:t>24</w:t>
            </w:r>
            <w:r w:rsidRPr="00C23724">
              <w:t>-202</w:t>
            </w:r>
            <w:r w:rsidR="00E465E2" w:rsidRPr="00C23724">
              <w:t>9</w:t>
            </w:r>
          </w:p>
        </w:tc>
        <w:tc>
          <w:tcPr>
            <w:tcW w:w="2268" w:type="dxa"/>
            <w:shd w:val="clear" w:color="auto" w:fill="auto"/>
          </w:tcPr>
          <w:p w14:paraId="22E08CCA" w14:textId="77777777" w:rsidR="00751A4A" w:rsidRPr="00C23724" w:rsidRDefault="00187494" w:rsidP="0010095E">
            <w:pPr>
              <w:pStyle w:val="EPLogo"/>
            </w:pPr>
            <w:r w:rsidRPr="00C23724">
              <w:rPr>
                <w:noProof/>
                <w:lang w:eastAsia="hu-HU"/>
              </w:rPr>
              <w:drawing>
                <wp:inline distT="0" distB="0" distL="0" distR="0" wp14:anchorId="582A312E" wp14:editId="65AD94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3D5FCF" w14:textId="77777777" w:rsidR="00D058B8" w:rsidRPr="00C23724" w:rsidRDefault="00D058B8" w:rsidP="004C5D52">
      <w:pPr>
        <w:pStyle w:val="LineTop"/>
      </w:pPr>
    </w:p>
    <w:p w14:paraId="599186E7" w14:textId="77777777" w:rsidR="00680577" w:rsidRPr="00C23724" w:rsidRDefault="001D75F6" w:rsidP="00680577">
      <w:pPr>
        <w:pStyle w:val="EPBodyTA1"/>
      </w:pPr>
      <w:r w:rsidRPr="00C23724">
        <w:t>ELFOGADOTT SZÖVEGEK</w:t>
      </w:r>
    </w:p>
    <w:p w14:paraId="3EF12BC0" w14:textId="77777777" w:rsidR="00D058B8" w:rsidRPr="00C23724" w:rsidRDefault="00D058B8" w:rsidP="00D058B8">
      <w:pPr>
        <w:pStyle w:val="LineBottom"/>
      </w:pPr>
    </w:p>
    <w:p w14:paraId="45284ACD" w14:textId="3CCFC7F4" w:rsidR="001D75F6" w:rsidRPr="00C23724" w:rsidRDefault="001D75F6" w:rsidP="001D75F6">
      <w:pPr>
        <w:pStyle w:val="ATHeading1"/>
      </w:pPr>
      <w:bookmarkStart w:id="0" w:name="TANumber"/>
      <w:r w:rsidRPr="00C23724">
        <w:t>P</w:t>
      </w:r>
      <w:r w:rsidR="00E465E2" w:rsidRPr="00C23724">
        <w:t>10</w:t>
      </w:r>
      <w:r w:rsidRPr="00C23724">
        <w:t>_</w:t>
      </w:r>
      <w:proofErr w:type="gramStart"/>
      <w:r w:rsidRPr="00C23724">
        <w:t>TA(</w:t>
      </w:r>
      <w:proofErr w:type="gramEnd"/>
      <w:r w:rsidRPr="00C23724">
        <w:t>202</w:t>
      </w:r>
      <w:r w:rsidR="00E465E2" w:rsidRPr="00C23724">
        <w:t>6</w:t>
      </w:r>
      <w:r w:rsidRPr="00C23724">
        <w:t>)00</w:t>
      </w:r>
      <w:r w:rsidR="00C23724" w:rsidRPr="00C23724">
        <w:t>94</w:t>
      </w:r>
      <w:bookmarkEnd w:id="0"/>
    </w:p>
    <w:p w14:paraId="35CA8373" w14:textId="63AA16B2" w:rsidR="001D75F6" w:rsidRPr="00C23724" w:rsidRDefault="00E465E2" w:rsidP="001D75F6">
      <w:pPr>
        <w:pStyle w:val="ATHeading2"/>
      </w:pPr>
      <w:bookmarkStart w:id="1" w:name="title"/>
      <w:r w:rsidRPr="00C23724">
        <w:t>A korrupció elleni küzdelem</w:t>
      </w:r>
      <w:bookmarkEnd w:id="1"/>
    </w:p>
    <w:p w14:paraId="3521989D" w14:textId="39CD7BFE" w:rsidR="001D75F6" w:rsidRPr="00C23724" w:rsidRDefault="001D75F6" w:rsidP="001D75F6">
      <w:pPr>
        <w:rPr>
          <w:i/>
          <w:vanish/>
        </w:rPr>
      </w:pPr>
      <w:r w:rsidRPr="00C23724">
        <w:rPr>
          <w:i/>
        </w:rPr>
        <w:fldChar w:fldCharType="begin"/>
      </w:r>
      <w:r w:rsidRPr="00C23724">
        <w:rPr>
          <w:i/>
        </w:rPr>
        <w:instrText xml:space="preserve"> TC"(</w:instrText>
      </w:r>
      <w:bookmarkStart w:id="2" w:name="DocNumber"/>
      <w:r w:rsidRPr="00C23724">
        <w:rPr>
          <w:i/>
        </w:rPr>
        <w:instrText>A9-0048/2024</w:instrText>
      </w:r>
      <w:bookmarkEnd w:id="2"/>
      <w:r w:rsidRPr="00C23724">
        <w:rPr>
          <w:i/>
        </w:rPr>
        <w:instrText xml:space="preserve"> - Előadó: </w:instrText>
      </w:r>
      <w:r w:rsidR="00921C88" w:rsidRPr="00C23724">
        <w:rPr>
          <w:i/>
        </w:rPr>
        <w:instrText>R</w:instrText>
      </w:r>
      <w:r w:rsidR="00217413" w:rsidRPr="00C23724">
        <w:rPr>
          <w:i/>
        </w:rPr>
        <w:instrText>a</w:instrText>
      </w:r>
      <w:r w:rsidR="00921C88" w:rsidRPr="00C23724">
        <w:rPr>
          <w:i/>
        </w:rPr>
        <w:instrText>quel García Hermida-Van Der Walle</w:instrText>
      </w:r>
      <w:r w:rsidRPr="00C23724">
        <w:rPr>
          <w:i/>
        </w:rPr>
        <w:instrText xml:space="preserve">)"\l3 \n&gt; \* MERGEFORMAT </w:instrText>
      </w:r>
      <w:r w:rsidRPr="00C23724">
        <w:rPr>
          <w:i/>
        </w:rPr>
        <w:fldChar w:fldCharType="end"/>
      </w:r>
    </w:p>
    <w:p w14:paraId="64E87D99" w14:textId="77777777" w:rsidR="001D75F6" w:rsidRPr="00C23724" w:rsidRDefault="001D75F6" w:rsidP="001D75F6">
      <w:pPr>
        <w:rPr>
          <w:vanish/>
        </w:rPr>
      </w:pPr>
      <w:bookmarkStart w:id="3" w:name="Commission"/>
      <w:r w:rsidRPr="00C23724">
        <w:rPr>
          <w:vanish/>
        </w:rPr>
        <w:t>Állampolgári Jogi, Bel- és Igazságügyi Bizottság</w:t>
      </w:r>
      <w:bookmarkEnd w:id="3"/>
    </w:p>
    <w:p w14:paraId="46274A1F" w14:textId="77777777" w:rsidR="001D75F6" w:rsidRPr="00C23724" w:rsidRDefault="001D75F6" w:rsidP="001D75F6">
      <w:pPr>
        <w:rPr>
          <w:vanish/>
        </w:rPr>
      </w:pPr>
      <w:bookmarkStart w:id="4" w:name="PE"/>
      <w:r w:rsidRPr="00C23724">
        <w:rPr>
          <w:vanish/>
        </w:rPr>
        <w:t>PE753.573</w:t>
      </w:r>
      <w:bookmarkEnd w:id="4"/>
    </w:p>
    <w:p w14:paraId="6C53648C" w14:textId="343C8E75" w:rsidR="001D75F6" w:rsidRPr="00C23724" w:rsidRDefault="001D75F6" w:rsidP="001D75F6">
      <w:pPr>
        <w:pStyle w:val="ATHeading3"/>
      </w:pPr>
      <w:bookmarkStart w:id="5" w:name="Sujet"/>
      <w:r w:rsidRPr="00C23724">
        <w:t>Az Európai Parlament 202</w:t>
      </w:r>
      <w:r w:rsidR="00E465E2" w:rsidRPr="00C23724">
        <w:t>6</w:t>
      </w:r>
      <w:r w:rsidRPr="00C23724">
        <w:t xml:space="preserve">. </w:t>
      </w:r>
      <w:r w:rsidR="00E465E2" w:rsidRPr="00C23724">
        <w:t>március</w:t>
      </w:r>
      <w:r w:rsidRPr="00C23724">
        <w:t xml:space="preserve"> </w:t>
      </w:r>
      <w:r w:rsidR="00921C88" w:rsidRPr="00C23724">
        <w:t>26-</w:t>
      </w:r>
      <w:r w:rsidRPr="00C23724">
        <w:t>i jogalkotási állásfoglalása a korrupció elleni küzdelemről, a 2003/568/IB tanácsi kerethatározat és az Európai Közösségek tisztviselőit és az Európai Unió tagállamainak tisztviselőit érintő korrupció elleni küzdelemről szóló egyezmény felváltásáról, valamint az (EU) 2017/1371 európai parlamenti és tanácsi irányelv módosításáról szól</w:t>
      </w:r>
      <w:r w:rsidR="00D56653" w:rsidRPr="00C23724">
        <w:t>ó</w:t>
      </w:r>
      <w:r w:rsidRPr="00C23724">
        <w:t xml:space="preserve"> európai parlamenti és tanácsi irányelvre irányuló javaslatról</w:t>
      </w:r>
      <w:bookmarkEnd w:id="5"/>
      <w:r w:rsidRPr="00C23724">
        <w:t xml:space="preserve"> </w:t>
      </w:r>
      <w:bookmarkStart w:id="6" w:name="References"/>
      <w:r w:rsidRPr="00C23724">
        <w:t>(</w:t>
      </w:r>
      <w:proofErr w:type="gramStart"/>
      <w:r w:rsidRPr="00C23724">
        <w:t>COM(</w:t>
      </w:r>
      <w:proofErr w:type="gramEnd"/>
      <w:r w:rsidRPr="00C23724">
        <w:t>2023)0234 – C9-0162/2023 – 2023/0135(COD))</w:t>
      </w:r>
      <w:bookmarkEnd w:id="6"/>
    </w:p>
    <w:p w14:paraId="56452E2B" w14:textId="77777777" w:rsidR="00FF7EB2" w:rsidRPr="00C23724" w:rsidRDefault="00FF7EB2" w:rsidP="00FF7EB2">
      <w:pPr>
        <w:pStyle w:val="NormalBold"/>
      </w:pPr>
      <w:bookmarkStart w:id="7" w:name="TextBodyBegin"/>
      <w:bookmarkEnd w:id="7"/>
      <w:r w:rsidRPr="00C23724">
        <w:t>(Rendes jogalkotási eljárás: első olvasat)</w:t>
      </w:r>
    </w:p>
    <w:p w14:paraId="37090342" w14:textId="77777777" w:rsidR="00FF7EB2" w:rsidRPr="00C23724" w:rsidRDefault="00FF7EB2" w:rsidP="00FF7EB2">
      <w:pPr>
        <w:pStyle w:val="EPComma"/>
      </w:pPr>
      <w:r w:rsidRPr="00C23724">
        <w:rPr>
          <w:i/>
        </w:rPr>
        <w:t>Az Európai Parlament,</w:t>
      </w:r>
    </w:p>
    <w:p w14:paraId="6FCEDA6F" w14:textId="77777777" w:rsidR="00FF7EB2" w:rsidRPr="00C23724" w:rsidRDefault="00FF7EB2" w:rsidP="008C5995">
      <w:pPr>
        <w:pStyle w:val="NormalHanging12a"/>
        <w:widowControl/>
      </w:pPr>
      <w:r w:rsidRPr="00C23724">
        <w:t>–</w:t>
      </w:r>
      <w:r w:rsidRPr="00C23724">
        <w:tab/>
        <w:t>tekintettel a Bizottság Parlamenthez és Tanácshoz intézett javaslatára (</w:t>
      </w:r>
      <w:proofErr w:type="gramStart"/>
      <w:r w:rsidRPr="00C23724">
        <w:t>COM(</w:t>
      </w:r>
      <w:proofErr w:type="gramEnd"/>
      <w:r w:rsidRPr="00C23724">
        <w:t>2023)0234),</w:t>
      </w:r>
    </w:p>
    <w:p w14:paraId="6D9EBDE5" w14:textId="0A2D0510" w:rsidR="00FF7EB2" w:rsidRPr="00C23724" w:rsidRDefault="00FF7EB2" w:rsidP="008C5995">
      <w:pPr>
        <w:pStyle w:val="NormalHanging12a"/>
        <w:widowControl/>
      </w:pPr>
      <w:r w:rsidRPr="00C23724">
        <w:t>–</w:t>
      </w:r>
      <w:r w:rsidRPr="00C23724">
        <w:tab/>
        <w:t>tekintettel az Európai Unió működéséről szóló szerződés 294. cikkének (2) bekezdésére, 82. cikk</w:t>
      </w:r>
      <w:r w:rsidR="003560FD" w:rsidRPr="00C23724">
        <w:t>e</w:t>
      </w:r>
      <w:r w:rsidRPr="00C23724">
        <w:t xml:space="preserve"> (1) bekezdésének d) pontjára és 83. cikkének (1) és (2) bekezdésére, amelyek alapján a Bizottság javaslatát benyújtotta a Parlamenthez (C9-0162/2023),</w:t>
      </w:r>
    </w:p>
    <w:p w14:paraId="7DE7F7D8" w14:textId="77777777" w:rsidR="00FF7EB2" w:rsidRPr="00C23724" w:rsidRDefault="00FF7EB2" w:rsidP="008C5995">
      <w:pPr>
        <w:pStyle w:val="NormalHanging12a"/>
        <w:widowControl/>
      </w:pPr>
      <w:r w:rsidRPr="00C23724">
        <w:t>–</w:t>
      </w:r>
      <w:r w:rsidRPr="00C23724">
        <w:tab/>
        <w:t>tekintettel az Európai Unió működéséről szóló szerződés 294. cikkének (3) bekezdésére,</w:t>
      </w:r>
    </w:p>
    <w:p w14:paraId="471C0AD6" w14:textId="6649A54F" w:rsidR="00FF7EB2" w:rsidRPr="00C23724" w:rsidRDefault="00FF7EB2" w:rsidP="008C5995">
      <w:pPr>
        <w:pStyle w:val="NormalHanging12a"/>
        <w:widowControl/>
      </w:pPr>
      <w:r w:rsidRPr="00C23724">
        <w:t>–</w:t>
      </w:r>
      <w:r w:rsidRPr="00C23724">
        <w:tab/>
        <w:t>tekintettel a</w:t>
      </w:r>
      <w:r w:rsidR="00D56653" w:rsidRPr="00C23724">
        <w:t xml:space="preserve"> svéd parlament és az olasz képviselőház által a</w:t>
      </w:r>
      <w:r w:rsidRPr="00C23724">
        <w:t xml:space="preserve"> szubszidiaritás és az arányosság elv</w:t>
      </w:r>
      <w:r w:rsidR="00D56653" w:rsidRPr="00C23724">
        <w:t>é</w:t>
      </w:r>
      <w:r w:rsidRPr="00C23724">
        <w:t xml:space="preserve">nek alkalmazásáról szóló 2. jegyzőkönyv </w:t>
      </w:r>
      <w:r w:rsidR="00D56653" w:rsidRPr="00C23724">
        <w:t>alapján</w:t>
      </w:r>
      <w:r w:rsidRPr="00C23724">
        <w:t xml:space="preserve"> </w:t>
      </w:r>
      <w:r w:rsidR="00D56653" w:rsidRPr="00C23724">
        <w:t>előterjesztett</w:t>
      </w:r>
      <w:r w:rsidRPr="00C23724">
        <w:t xml:space="preserve"> indokol</w:t>
      </w:r>
      <w:r w:rsidR="00D56653" w:rsidRPr="00C23724">
        <w:t>t</w:t>
      </w:r>
      <w:r w:rsidRPr="00C23724">
        <w:t xml:space="preserve"> véleményekre, amelyek </w:t>
      </w:r>
      <w:r w:rsidR="00D56653" w:rsidRPr="00C23724">
        <w:t>szerint</w:t>
      </w:r>
      <w:r w:rsidRPr="00C23724">
        <w:t xml:space="preserve"> a jogalkotási aktus</w:t>
      </w:r>
      <w:r w:rsidR="00D56653" w:rsidRPr="00C23724">
        <w:t xml:space="preserve"> tervezete</w:t>
      </w:r>
      <w:r w:rsidRPr="00C23724">
        <w:t xml:space="preserve"> nem </w:t>
      </w:r>
      <w:r w:rsidR="00D56653" w:rsidRPr="00C23724">
        <w:t>egyeztethető össze</w:t>
      </w:r>
      <w:r w:rsidRPr="00C23724">
        <w:t xml:space="preserve"> a szubszidiaritás elvével,</w:t>
      </w:r>
    </w:p>
    <w:p w14:paraId="11DEBB6C" w14:textId="18B67A2A" w:rsidR="00921C88" w:rsidRPr="00C23724" w:rsidRDefault="00921C88" w:rsidP="006358C9">
      <w:pPr>
        <w:pStyle w:val="NormalHanging12a"/>
        <w:numPr>
          <w:ilvl w:val="0"/>
          <w:numId w:val="3"/>
        </w:numPr>
        <w:ind w:left="567" w:hanging="567"/>
      </w:pPr>
      <w:r w:rsidRPr="00C23724">
        <w:t xml:space="preserve">tekintettel az Európai Gazdasági és Szociális Bizottság </w:t>
      </w:r>
      <w:r w:rsidR="001F293D" w:rsidRPr="00C23724">
        <w:t xml:space="preserve">2023. október 25-i </w:t>
      </w:r>
      <w:r w:rsidRPr="00C23724">
        <w:t>véleményére</w:t>
      </w:r>
      <w:r w:rsidRPr="00C23724">
        <w:rPr>
          <w:rStyle w:val="FootnoteReference"/>
        </w:rPr>
        <w:footnoteReference w:id="1"/>
      </w:r>
      <w:r w:rsidRPr="00C23724">
        <w:t>,</w:t>
      </w:r>
    </w:p>
    <w:p w14:paraId="28C8D7C8" w14:textId="4B814F65" w:rsidR="00921C88" w:rsidRPr="00C23724" w:rsidRDefault="00921C88" w:rsidP="00921C88">
      <w:pPr>
        <w:pStyle w:val="NormalHanging12a"/>
      </w:pPr>
      <w:r w:rsidRPr="00C23724">
        <w:t>–</w:t>
      </w:r>
      <w:r w:rsidRPr="00C23724">
        <w:tab/>
        <w:t xml:space="preserve">tekintettel a Régiók Bizottságának </w:t>
      </w:r>
      <w:r w:rsidR="001F293D" w:rsidRPr="00C23724">
        <w:t xml:space="preserve">2023. november 29-i </w:t>
      </w:r>
      <w:r w:rsidRPr="00C23724">
        <w:t>véleményére</w:t>
      </w:r>
      <w:r w:rsidRPr="00C23724">
        <w:rPr>
          <w:rStyle w:val="FootnoteReference"/>
        </w:rPr>
        <w:footnoteReference w:id="2"/>
      </w:r>
      <w:r w:rsidRPr="00C23724">
        <w:t>,</w:t>
      </w:r>
    </w:p>
    <w:p w14:paraId="3C0ADA50" w14:textId="010F870A" w:rsidR="00921C88" w:rsidRPr="00C23724" w:rsidRDefault="00921C88" w:rsidP="00921C88">
      <w:pPr>
        <w:pStyle w:val="NormalHanging12a"/>
      </w:pPr>
      <w:r w:rsidRPr="00C23724">
        <w:t>–</w:t>
      </w:r>
      <w:r w:rsidRPr="00C23724">
        <w:tab/>
        <w:t xml:space="preserve">tekintettel az illetékes bizottság által az eljárási szabályzat 75. cikkének (4) bekezdése </w:t>
      </w:r>
      <w:r w:rsidRPr="00C23724">
        <w:lastRenderedPageBreak/>
        <w:t>alapján jóváhagyott ideiglenes megállapodásra és a Tanács képviselőjének 2025. december 10-i írásbeli kötelezettségvállalására, amely szerint egyetért a Parlament álláspontjával, az Európai Unió működéséről szóló szerződés 294. cikkének (4) bekezdésével összhangban,</w:t>
      </w:r>
    </w:p>
    <w:p w14:paraId="19D886D7" w14:textId="3257B59F" w:rsidR="00FF7EB2" w:rsidRPr="00C23724" w:rsidRDefault="00FF7EB2" w:rsidP="008C5995">
      <w:pPr>
        <w:pStyle w:val="NormalHanging12a"/>
        <w:widowControl/>
      </w:pPr>
      <w:r w:rsidRPr="00C23724">
        <w:t>–</w:t>
      </w:r>
      <w:r w:rsidRPr="00C23724">
        <w:tab/>
        <w:t xml:space="preserve">tekintettel eljárási szabályzata </w:t>
      </w:r>
      <w:r w:rsidR="00921C88" w:rsidRPr="00C23724">
        <w:t>60</w:t>
      </w:r>
      <w:r w:rsidRPr="00C23724">
        <w:t>. cikkére,</w:t>
      </w:r>
    </w:p>
    <w:p w14:paraId="22B9AA71" w14:textId="77777777" w:rsidR="00FF7EB2" w:rsidRPr="00C23724" w:rsidRDefault="00FF7EB2" w:rsidP="008C5995">
      <w:pPr>
        <w:pStyle w:val="NormalHanging12a"/>
        <w:widowControl/>
      </w:pPr>
      <w:r w:rsidRPr="00C23724">
        <w:t>–</w:t>
      </w:r>
      <w:r w:rsidRPr="00C23724">
        <w:tab/>
        <w:t>tekintettel a Költségvetési Ellenőrző Bizottság véleményére,</w:t>
      </w:r>
    </w:p>
    <w:p w14:paraId="47CC7DB4" w14:textId="77777777" w:rsidR="00FF7EB2" w:rsidRPr="00C23724" w:rsidRDefault="00FF7EB2" w:rsidP="008C5995">
      <w:pPr>
        <w:pStyle w:val="NormalHanging12a"/>
        <w:widowControl/>
      </w:pPr>
      <w:r w:rsidRPr="00C23724">
        <w:t>–</w:t>
      </w:r>
      <w:r w:rsidRPr="00C23724">
        <w:tab/>
        <w:t>tekintettel az Állampolgári Jogi, Bel- és Igazságügyi Bizottság jelentésére (A9-0048/2024),</w:t>
      </w:r>
    </w:p>
    <w:p w14:paraId="0AFF3544" w14:textId="77777777" w:rsidR="00FF7EB2" w:rsidRPr="00C23724" w:rsidRDefault="00FF7EB2" w:rsidP="008C5995">
      <w:pPr>
        <w:pStyle w:val="NormalHanging12a"/>
        <w:widowControl/>
      </w:pPr>
      <w:r w:rsidRPr="00C23724">
        <w:t>1.</w:t>
      </w:r>
      <w:r w:rsidRPr="00C23724">
        <w:tab/>
        <w:t xml:space="preserve">elfogadja első olvasatban az alábbi álláspontot; </w:t>
      </w:r>
    </w:p>
    <w:p w14:paraId="7BAB2121" w14:textId="77777777" w:rsidR="00FF7EB2" w:rsidRPr="00C23724" w:rsidRDefault="00FF7EB2" w:rsidP="008C5995">
      <w:pPr>
        <w:pStyle w:val="NormalHanging12a"/>
        <w:widowControl/>
      </w:pPr>
      <w:r w:rsidRPr="00C23724">
        <w:t>2.</w:t>
      </w:r>
      <w:r w:rsidRPr="00C23724">
        <w:tab/>
        <w:t>felkéri a Bizottságot, hogy utalja az ügyet újból a Parlamenthez, ha javaslatát másik szöveggel váltja fel, lényegesen módosítja vagy lényegesen módosítani kívánja;</w:t>
      </w:r>
    </w:p>
    <w:p w14:paraId="6F22EE5D" w14:textId="77777777" w:rsidR="00FF7EB2" w:rsidRPr="00C23724" w:rsidRDefault="00FF7EB2" w:rsidP="008C5995">
      <w:pPr>
        <w:pStyle w:val="NormalHanging12a"/>
        <w:widowControl/>
      </w:pPr>
      <w:r w:rsidRPr="00C23724">
        <w:t>3.</w:t>
      </w:r>
      <w:r w:rsidRPr="00C23724">
        <w:tab/>
        <w:t>utasítja elnökét, hogy továbbítsa a Parlament álláspontját a Tanácsnak és a Bizottságnak, valamint a nemzeti parlamenteknek.</w:t>
      </w:r>
    </w:p>
    <w:p w14:paraId="711C9E28" w14:textId="77777777" w:rsidR="00921C88" w:rsidRPr="00C23724" w:rsidRDefault="00921C88">
      <w:pPr>
        <w:widowControl/>
        <w:sectPr w:rsidR="00921C88" w:rsidRPr="00C23724" w:rsidSect="00046D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8AD538" w14:textId="3E8F5738" w:rsidR="00217413" w:rsidRPr="00C23724" w:rsidRDefault="00217413" w:rsidP="00217413">
      <w:pPr>
        <w:widowControl/>
        <w:spacing w:after="240"/>
        <w:rPr>
          <w:b/>
          <w:bCs/>
        </w:rPr>
      </w:pPr>
      <w:r w:rsidRPr="00C23724">
        <w:rPr>
          <w:b/>
          <w:bCs/>
        </w:rPr>
        <w:lastRenderedPageBreak/>
        <w:t>P10_TC1-</w:t>
      </w:r>
      <w:proofErr w:type="gramStart"/>
      <w:r w:rsidRPr="00C23724">
        <w:rPr>
          <w:b/>
          <w:bCs/>
        </w:rPr>
        <w:t>COD(</w:t>
      </w:r>
      <w:proofErr w:type="gramEnd"/>
      <w:r w:rsidRPr="00C23724">
        <w:rPr>
          <w:b/>
          <w:bCs/>
        </w:rPr>
        <w:t>2023)0135</w:t>
      </w:r>
    </w:p>
    <w:p w14:paraId="6B3F16E5" w14:textId="4AD402BA" w:rsidR="00217413" w:rsidRPr="00C23724" w:rsidRDefault="00217413" w:rsidP="00217413">
      <w:pPr>
        <w:pStyle w:val="NormalHanging12a"/>
        <w:widowControl/>
        <w:ind w:left="0" w:firstLine="0"/>
        <w:rPr>
          <w:b/>
        </w:rPr>
      </w:pPr>
      <w:r w:rsidRPr="00C23724">
        <w:rPr>
          <w:b/>
        </w:rPr>
        <w:t xml:space="preserve">Az Európai Parlament álláspontja, amely első olvasatban 2026. március 26-án került elfogadásra </w:t>
      </w:r>
      <w:r w:rsidR="00A977D6" w:rsidRPr="00A977D6">
        <w:rPr>
          <w:rFonts w:eastAsia="Calibri"/>
          <w:b/>
          <w:szCs w:val="22"/>
          <w:lang w:eastAsia="en-US"/>
        </w:rPr>
        <w:t>a korrupció elleni küzdelemről, a 2003/568/IB tanácsi kerethatározat és az Európai Közösségek tisztviselőit és az Európai Unió tagállamainak tisztviselőit érintő korrupció elleni küzdelemről szóló egyezmény felváltásáról, valamint az (EU) 2017/1371 európai parlamenti és tanácsi irányelv módosításáról</w:t>
      </w:r>
      <w:r w:rsidR="006358C9" w:rsidRPr="00C23724">
        <w:rPr>
          <w:rFonts w:eastAsia="Calibri"/>
          <w:b/>
          <w:szCs w:val="22"/>
          <w:lang w:eastAsia="en-US"/>
        </w:rPr>
        <w:t xml:space="preserve"> </w:t>
      </w:r>
      <w:r w:rsidRPr="00C23724">
        <w:rPr>
          <w:b/>
        </w:rPr>
        <w:t>szóló (EU) 2026/... európai parlamenti és tanácsi irányelv elfogadására tekintettel</w:t>
      </w:r>
    </w:p>
    <w:p w14:paraId="14D13A92" w14:textId="77777777" w:rsidR="00A977D6" w:rsidRPr="00A977D6" w:rsidRDefault="00A977D6" w:rsidP="00A977D6">
      <w:pPr>
        <w:pStyle w:val="NormalWeb"/>
        <w:spacing w:before="0" w:beforeAutospacing="0" w:after="0" w:afterAutospacing="0"/>
        <w:rPr>
          <w:i/>
          <w:iCs/>
        </w:rPr>
      </w:pPr>
      <w:bookmarkStart w:id="8" w:name="DQC_RangeToBeChecked"/>
    </w:p>
    <w:p w14:paraId="176FD240" w14:textId="108D502A" w:rsidR="00A977D6" w:rsidRPr="00A977D6" w:rsidRDefault="00A977D6" w:rsidP="00A977D6">
      <w:pPr>
        <w:pStyle w:val="NormalWeb"/>
        <w:spacing w:before="0" w:beforeAutospacing="0" w:after="0" w:afterAutospacing="0" w:line="240" w:lineRule="auto"/>
        <w:rPr>
          <w:rFonts w:eastAsia="Calibri"/>
          <w:szCs w:val="22"/>
          <w:lang w:eastAsia="en-US"/>
        </w:rPr>
      </w:pPr>
      <w:r w:rsidRPr="00A977D6">
        <w:rPr>
          <w:i/>
          <w:iCs/>
        </w:rPr>
        <w:t>(A Parlament és a Tanács megállapodása következtében a Parlament álláspontja megegyezik a végleges jogalkotási aktussal, az (EU) 2026/</w:t>
      </w:r>
      <w:r>
        <w:rPr>
          <w:i/>
          <w:iCs/>
        </w:rPr>
        <w:t>1021</w:t>
      </w:r>
      <w:r w:rsidRPr="00A977D6">
        <w:rPr>
          <w:i/>
          <w:iCs/>
        </w:rPr>
        <w:t xml:space="preserve"> </w:t>
      </w:r>
      <w:r>
        <w:rPr>
          <w:i/>
          <w:iCs/>
        </w:rPr>
        <w:t>irányelvvel</w:t>
      </w:r>
      <w:r w:rsidRPr="00A977D6">
        <w:rPr>
          <w:i/>
          <w:iCs/>
        </w:rPr>
        <w:t>.)</w:t>
      </w:r>
    </w:p>
    <w:bookmarkEnd w:id="8"/>
    <w:sectPr w:rsidR="00A977D6" w:rsidRPr="00A977D6" w:rsidSect="00046D0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BBE8F" w14:textId="77777777" w:rsidR="001D75F6" w:rsidRPr="00046D03" w:rsidRDefault="001D75F6">
      <w:r w:rsidRPr="00046D03">
        <w:separator/>
      </w:r>
    </w:p>
  </w:endnote>
  <w:endnote w:type="continuationSeparator" w:id="0">
    <w:p w14:paraId="5A8AEED5" w14:textId="77777777" w:rsidR="001D75F6" w:rsidRPr="00046D03" w:rsidRDefault="001D75F6">
      <w:r w:rsidRPr="00046D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2147" w14:textId="77777777" w:rsidR="00064002" w:rsidRPr="00046D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272A" w14:textId="77777777" w:rsidR="00064002" w:rsidRPr="00046D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409F" w14:textId="77777777" w:rsidR="00064002" w:rsidRPr="00046D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A2D35" w14:textId="77777777" w:rsidR="001D75F6" w:rsidRPr="00046D03" w:rsidRDefault="001D75F6">
      <w:r w:rsidRPr="00046D03">
        <w:separator/>
      </w:r>
    </w:p>
  </w:footnote>
  <w:footnote w:type="continuationSeparator" w:id="0">
    <w:p w14:paraId="36F2F261" w14:textId="77777777" w:rsidR="001D75F6" w:rsidRPr="00046D03" w:rsidRDefault="001D75F6">
      <w:r w:rsidRPr="00046D03">
        <w:continuationSeparator/>
      </w:r>
    </w:p>
  </w:footnote>
  <w:footnote w:id="1">
    <w:p w14:paraId="076613EB" w14:textId="17E48B2A" w:rsidR="00921C88" w:rsidRPr="00C23724" w:rsidRDefault="00921C88" w:rsidP="00C23724">
      <w:pPr>
        <w:pStyle w:val="FootnoteText"/>
        <w:ind w:left="567" w:hanging="567"/>
        <w:rPr>
          <w:sz w:val="24"/>
          <w:szCs w:val="24"/>
          <w:lang w:val="fi-FI"/>
        </w:rPr>
      </w:pPr>
      <w:r w:rsidRPr="00C23724">
        <w:rPr>
          <w:rStyle w:val="FootnoteReference"/>
          <w:sz w:val="24"/>
          <w:szCs w:val="24"/>
        </w:rPr>
        <w:footnoteRef/>
      </w:r>
      <w:r w:rsidRPr="00C23724">
        <w:rPr>
          <w:sz w:val="24"/>
          <w:szCs w:val="24"/>
          <w:lang w:val="fi-FI"/>
        </w:rPr>
        <w:t xml:space="preserve"> </w:t>
      </w:r>
      <w:r w:rsidRPr="00C23724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HL</w:t>
      </w:r>
      <w:r w:rsidRPr="00C23724">
        <w:rPr>
          <w:sz w:val="24"/>
          <w:szCs w:val="24"/>
          <w:lang w:val="fi-FI"/>
        </w:rPr>
        <w:t xml:space="preserve"> C, C/2024/886, 2024</w:t>
      </w:r>
      <w:r>
        <w:rPr>
          <w:sz w:val="24"/>
          <w:szCs w:val="24"/>
          <w:lang w:val="fi-FI"/>
        </w:rPr>
        <w:t>.2.6.</w:t>
      </w:r>
      <w:r w:rsidRPr="00C23724">
        <w:rPr>
          <w:sz w:val="24"/>
          <w:szCs w:val="24"/>
          <w:lang w:val="fi-FI"/>
        </w:rPr>
        <w:t xml:space="preserve">, ELI: </w:t>
      </w:r>
      <w:hyperlink r:id="rId1" w:history="1">
        <w:r w:rsidRPr="00C23724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C23724">
        <w:rPr>
          <w:sz w:val="24"/>
          <w:szCs w:val="24"/>
          <w:lang w:val="fi-FI"/>
        </w:rPr>
        <w:t>.</w:t>
      </w:r>
    </w:p>
  </w:footnote>
  <w:footnote w:id="2">
    <w:p w14:paraId="7216E494" w14:textId="1FB7EDF6" w:rsidR="00921C88" w:rsidRPr="00C23724" w:rsidRDefault="00921C88" w:rsidP="00C23724">
      <w:pPr>
        <w:pStyle w:val="FootnoteText"/>
        <w:ind w:left="567" w:hanging="567"/>
        <w:rPr>
          <w:sz w:val="24"/>
          <w:szCs w:val="24"/>
          <w:lang w:val="fi-FI"/>
        </w:rPr>
      </w:pPr>
      <w:r w:rsidRPr="00C23724">
        <w:rPr>
          <w:rStyle w:val="FootnoteReference"/>
          <w:sz w:val="24"/>
          <w:szCs w:val="24"/>
        </w:rPr>
        <w:footnoteRef/>
      </w:r>
      <w:r w:rsidRPr="00C23724">
        <w:rPr>
          <w:sz w:val="24"/>
          <w:szCs w:val="24"/>
          <w:lang w:val="fi-FI"/>
        </w:rPr>
        <w:t xml:space="preserve"> </w:t>
      </w:r>
      <w:r w:rsidRPr="00C23724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HL</w:t>
      </w:r>
      <w:r w:rsidRPr="00C23724">
        <w:rPr>
          <w:sz w:val="24"/>
          <w:szCs w:val="24"/>
          <w:lang w:val="fi-FI"/>
        </w:rPr>
        <w:t xml:space="preserve"> C, C/2024/1048, 2024</w:t>
      </w:r>
      <w:r>
        <w:rPr>
          <w:sz w:val="24"/>
          <w:szCs w:val="24"/>
          <w:lang w:val="fi-FI"/>
        </w:rPr>
        <w:t>.2.9.</w:t>
      </w:r>
      <w:r w:rsidRPr="00C23724">
        <w:rPr>
          <w:sz w:val="24"/>
          <w:szCs w:val="24"/>
          <w:lang w:val="fi-FI"/>
        </w:rPr>
        <w:t xml:space="preserve">, ELI: </w:t>
      </w:r>
      <w:hyperlink r:id="rId2" w:history="1">
        <w:r w:rsidRPr="00C23724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C23724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0049" w14:textId="77777777" w:rsidR="00064002" w:rsidRPr="00046D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01D48" w14:textId="77777777" w:rsidR="00064002" w:rsidRPr="00046D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5608" w14:textId="77777777" w:rsidR="00064002" w:rsidRPr="00046D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08BC72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strike w:val="0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 w:val="0"/>
        <w:bCs w:val="0"/>
        <w:strike w:val="0"/>
        <w:u w:val="none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36603C0A"/>
    <w:multiLevelType w:val="hybridMultilevel"/>
    <w:tmpl w:val="00647488"/>
    <w:lvl w:ilvl="0" w:tplc="8934009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998923103">
    <w:abstractNumId w:val="3"/>
  </w:num>
  <w:num w:numId="2" w16cid:durableId="959259077">
    <w:abstractNumId w:val="15"/>
  </w:num>
  <w:num w:numId="3" w16cid:durableId="1016689089">
    <w:abstractNumId w:val="14"/>
  </w:num>
  <w:num w:numId="4" w16cid:durableId="1196313884">
    <w:abstractNumId w:val="23"/>
  </w:num>
  <w:num w:numId="5" w16cid:durableId="625889934">
    <w:abstractNumId w:val="28"/>
  </w:num>
  <w:num w:numId="6" w16cid:durableId="249697315">
    <w:abstractNumId w:val="31"/>
  </w:num>
  <w:num w:numId="7" w16cid:durableId="1445267814">
    <w:abstractNumId w:val="12"/>
  </w:num>
  <w:num w:numId="8" w16cid:durableId="498420982">
    <w:abstractNumId w:val="20"/>
  </w:num>
  <w:num w:numId="9" w16cid:durableId="149714797">
    <w:abstractNumId w:val="9"/>
  </w:num>
  <w:num w:numId="10" w16cid:durableId="1056465546">
    <w:abstractNumId w:val="7"/>
  </w:num>
  <w:num w:numId="11" w16cid:durableId="873467661">
    <w:abstractNumId w:val="22"/>
  </w:num>
  <w:num w:numId="12" w16cid:durableId="166599984">
    <w:abstractNumId w:val="43"/>
  </w:num>
  <w:num w:numId="13" w16cid:durableId="108938969">
    <w:abstractNumId w:val="33"/>
  </w:num>
  <w:num w:numId="14" w16cid:durableId="480778093">
    <w:abstractNumId w:val="2"/>
  </w:num>
  <w:num w:numId="15" w16cid:durableId="893930486">
    <w:abstractNumId w:val="34"/>
  </w:num>
  <w:num w:numId="16" w16cid:durableId="452675422">
    <w:abstractNumId w:val="29"/>
  </w:num>
  <w:num w:numId="17" w16cid:durableId="332496024">
    <w:abstractNumId w:val="4"/>
  </w:num>
  <w:num w:numId="18" w16cid:durableId="270285231">
    <w:abstractNumId w:val="36"/>
  </w:num>
  <w:num w:numId="19" w16cid:durableId="1922595536">
    <w:abstractNumId w:val="42"/>
  </w:num>
  <w:num w:numId="20" w16cid:durableId="2030444891">
    <w:abstractNumId w:val="25"/>
  </w:num>
  <w:num w:numId="21" w16cid:durableId="383216074">
    <w:abstractNumId w:val="35"/>
  </w:num>
  <w:num w:numId="22" w16cid:durableId="1507401628">
    <w:abstractNumId w:val="30"/>
  </w:num>
  <w:num w:numId="23" w16cid:durableId="639580110">
    <w:abstractNumId w:val="21"/>
  </w:num>
  <w:num w:numId="24" w16cid:durableId="1408335817">
    <w:abstractNumId w:val="8"/>
  </w:num>
  <w:num w:numId="25" w16cid:durableId="1825463702">
    <w:abstractNumId w:val="6"/>
  </w:num>
  <w:num w:numId="26" w16cid:durableId="1849320516">
    <w:abstractNumId w:val="32"/>
  </w:num>
  <w:num w:numId="27" w16cid:durableId="1587031548">
    <w:abstractNumId w:val="37"/>
  </w:num>
  <w:num w:numId="28" w16cid:durableId="1677492169">
    <w:abstractNumId w:val="1"/>
  </w:num>
  <w:num w:numId="29" w16cid:durableId="1932465605">
    <w:abstractNumId w:val="10"/>
  </w:num>
  <w:num w:numId="30" w16cid:durableId="2124496057">
    <w:abstractNumId w:val="5"/>
  </w:num>
  <w:num w:numId="31" w16cid:durableId="620067232">
    <w:abstractNumId w:val="11"/>
  </w:num>
  <w:num w:numId="32" w16cid:durableId="548418794">
    <w:abstractNumId w:val="26"/>
  </w:num>
  <w:num w:numId="33" w16cid:durableId="1942714345">
    <w:abstractNumId w:val="16"/>
  </w:num>
  <w:num w:numId="34" w16cid:durableId="1501696219">
    <w:abstractNumId w:val="38"/>
  </w:num>
  <w:num w:numId="35" w16cid:durableId="702561102">
    <w:abstractNumId w:val="17"/>
  </w:num>
  <w:num w:numId="36" w16cid:durableId="504903869">
    <w:abstractNumId w:val="18"/>
  </w:num>
  <w:num w:numId="37" w16cid:durableId="368335854">
    <w:abstractNumId w:val="19"/>
  </w:num>
  <w:num w:numId="38" w16cid:durableId="1929994721">
    <w:abstractNumId w:val="24"/>
  </w:num>
  <w:num w:numId="39" w16cid:durableId="1152714072">
    <w:abstractNumId w:val="27"/>
  </w:num>
  <w:num w:numId="40" w16cid:durableId="833029414">
    <w:abstractNumId w:val="40"/>
  </w:num>
  <w:num w:numId="41" w16cid:durableId="1887444764">
    <w:abstractNumId w:val="39"/>
  </w:num>
  <w:num w:numId="42" w16cid:durableId="633367058">
    <w:abstractNumId w:val="41"/>
  </w:num>
  <w:num w:numId="43" w16cid:durableId="1215659334">
    <w:abstractNumId w:val="13"/>
  </w:num>
  <w:num w:numId="44" w16cid:durableId="1918855322">
    <w:abstractNumId w:val="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48/2024"/>
    <w:docVar w:name="dvlangue" w:val="HU"/>
    <w:docVar w:name="dvnumam" w:val="251"/>
    <w:docVar w:name="dvpe" w:val="753.573"/>
    <w:docVar w:name="dvrapporteur" w:val="Előadó: "/>
    <w:docVar w:name="dvstar" w:val="***I"/>
    <w:docVar w:name="dvtitre" w:val="Az Európai Parlament 2024.  ...-i jogalkotási állásfoglalása a korrupció elleni küzdelemről, a 2003/568/IB tanácsi kerethatározat és az Európai Közösségek tisztviselőit és az Európai Unió tagállamainak tisztviselőit érintő korrupció elleni küzdelemről szóló egyezmény felváltásáról, valamint az (EU) 2017/1371 európai parlamenti és tanácsi irányelv módosításáról szól európai parlamenti és tanácsi irányelvre irányuló javaslatról(COM(2023)0234 – C9-0162/2023 – 2023/0135(COD))"/>
  </w:docVars>
  <w:rsids>
    <w:rsidRoot w:val="001D75F6"/>
    <w:rsid w:val="00002272"/>
    <w:rsid w:val="00005CC4"/>
    <w:rsid w:val="00046D03"/>
    <w:rsid w:val="00064002"/>
    <w:rsid w:val="000677B9"/>
    <w:rsid w:val="000831BA"/>
    <w:rsid w:val="00092707"/>
    <w:rsid w:val="00092E73"/>
    <w:rsid w:val="000A42CC"/>
    <w:rsid w:val="000E7DD9"/>
    <w:rsid w:val="0010095E"/>
    <w:rsid w:val="00125B37"/>
    <w:rsid w:val="00187494"/>
    <w:rsid w:val="001D75F6"/>
    <w:rsid w:val="001F293D"/>
    <w:rsid w:val="001F32AE"/>
    <w:rsid w:val="00217413"/>
    <w:rsid w:val="002767FF"/>
    <w:rsid w:val="002B18FE"/>
    <w:rsid w:val="002B5493"/>
    <w:rsid w:val="00343214"/>
    <w:rsid w:val="003560FD"/>
    <w:rsid w:val="00361C00"/>
    <w:rsid w:val="00373FD1"/>
    <w:rsid w:val="00395FA1"/>
    <w:rsid w:val="003D37A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037"/>
    <w:rsid w:val="00545827"/>
    <w:rsid w:val="00553B0F"/>
    <w:rsid w:val="00560270"/>
    <w:rsid w:val="005C2568"/>
    <w:rsid w:val="006037C0"/>
    <w:rsid w:val="006358C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F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995"/>
    <w:rsid w:val="00921C88"/>
    <w:rsid w:val="00930C23"/>
    <w:rsid w:val="0093193B"/>
    <w:rsid w:val="009509D8"/>
    <w:rsid w:val="00950B64"/>
    <w:rsid w:val="00981893"/>
    <w:rsid w:val="009D09F3"/>
    <w:rsid w:val="00A1687D"/>
    <w:rsid w:val="00A43E52"/>
    <w:rsid w:val="00A4678D"/>
    <w:rsid w:val="00A778C7"/>
    <w:rsid w:val="00A977D6"/>
    <w:rsid w:val="00AB441E"/>
    <w:rsid w:val="00AB6293"/>
    <w:rsid w:val="00AE0928"/>
    <w:rsid w:val="00AF3B82"/>
    <w:rsid w:val="00B02749"/>
    <w:rsid w:val="00B12E95"/>
    <w:rsid w:val="00B22876"/>
    <w:rsid w:val="00B558F0"/>
    <w:rsid w:val="00BD48FE"/>
    <w:rsid w:val="00BD7BD8"/>
    <w:rsid w:val="00BE6ADC"/>
    <w:rsid w:val="00BF0E78"/>
    <w:rsid w:val="00C05BFE"/>
    <w:rsid w:val="00C23724"/>
    <w:rsid w:val="00C23CD4"/>
    <w:rsid w:val="00C61C0C"/>
    <w:rsid w:val="00C941CB"/>
    <w:rsid w:val="00CC2357"/>
    <w:rsid w:val="00CF071A"/>
    <w:rsid w:val="00D058B8"/>
    <w:rsid w:val="00D56653"/>
    <w:rsid w:val="00D56C11"/>
    <w:rsid w:val="00D834A0"/>
    <w:rsid w:val="00D872DF"/>
    <w:rsid w:val="00D91E21"/>
    <w:rsid w:val="00DA7FCD"/>
    <w:rsid w:val="00E365E1"/>
    <w:rsid w:val="00E465E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EAA6C"/>
  <w15:chartTrackingRefBased/>
  <w15:docId w15:val="{1B1F4083-684F-40D4-936D-AAB7A1B9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qFormat="1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,SUPERS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,f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F7EB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F7EB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F7EB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FF7EB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FF7EB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FF7EB2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FF7EB2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rsid w:val="00FF7EB2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rsid w:val="00FF7EB2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FF7EB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7E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7EB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7EB2"/>
    <w:pPr>
      <w:spacing w:after="120"/>
    </w:pPr>
  </w:style>
  <w:style w:type="paragraph" w:customStyle="1" w:styleId="PageHeading">
    <w:name w:val="PageHeading"/>
    <w:basedOn w:val="Normal"/>
    <w:rsid w:val="00FF7E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7EB2"/>
    <w:rPr>
      <w:b/>
    </w:rPr>
  </w:style>
  <w:style w:type="paragraph" w:customStyle="1" w:styleId="NormalBold12a">
    <w:name w:val="NormalBold12a"/>
    <w:basedOn w:val="Normal"/>
    <w:rsid w:val="00FF7EB2"/>
    <w:pPr>
      <w:spacing w:after="240"/>
    </w:pPr>
    <w:rPr>
      <w:b/>
    </w:rPr>
  </w:style>
  <w:style w:type="paragraph" w:customStyle="1" w:styleId="AmJustText">
    <w:name w:val="AmJustText"/>
    <w:basedOn w:val="Normal"/>
    <w:rsid w:val="00FF7EB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F7EB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F7EB2"/>
    <w:pPr>
      <w:spacing w:after="480"/>
      <w:ind w:left="1417"/>
    </w:pPr>
  </w:style>
  <w:style w:type="paragraph" w:customStyle="1" w:styleId="CoverNormal">
    <w:name w:val="CoverNormal"/>
    <w:basedOn w:val="Normal"/>
    <w:rsid w:val="00FF7EB2"/>
    <w:pPr>
      <w:ind w:left="1418"/>
    </w:pPr>
  </w:style>
  <w:style w:type="paragraph" w:customStyle="1" w:styleId="AmCrossRef">
    <w:name w:val="AmCrossRef"/>
    <w:basedOn w:val="Normal"/>
    <w:rsid w:val="00FF7EB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7EB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7EB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7EB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7EB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7EB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F7E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EB2"/>
    <w:rPr>
      <w:sz w:val="24"/>
      <w:lang w:val="hu-HU"/>
    </w:rPr>
  </w:style>
  <w:style w:type="paragraph" w:customStyle="1" w:styleId="AmOrLang">
    <w:name w:val="AmOrLang"/>
    <w:basedOn w:val="Normal"/>
    <w:rsid w:val="00FF7EB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7E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F7E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F7EB2"/>
    <w:pPr>
      <w:spacing w:before="240"/>
    </w:pPr>
    <w:rPr>
      <w:b/>
    </w:rPr>
  </w:style>
  <w:style w:type="paragraph" w:customStyle="1" w:styleId="EPBody">
    <w:name w:val="EPBody"/>
    <w:basedOn w:val="Normal"/>
    <w:rsid w:val="00FF7EB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7E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7EB2"/>
    <w:pPr>
      <w:spacing w:before="480" w:after="240"/>
    </w:pPr>
  </w:style>
  <w:style w:type="paragraph" w:customStyle="1" w:styleId="Lgendesigne">
    <w:name w:val="Légende signe"/>
    <w:basedOn w:val="Normal"/>
    <w:rsid w:val="00FF7EB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7EB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7EB2"/>
    <w:rPr>
      <w:sz w:val="18"/>
    </w:rPr>
  </w:style>
  <w:style w:type="paragraph" w:customStyle="1" w:styleId="msonormal0">
    <w:name w:val="msonormal"/>
    <w:basedOn w:val="Normal"/>
    <w:rsid w:val="00FF7EB2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FF7EB2"/>
    <w:rPr>
      <w:noProof/>
      <w:sz w:val="24"/>
    </w:rPr>
  </w:style>
  <w:style w:type="paragraph" w:customStyle="1" w:styleId="Normal12">
    <w:name w:val="Normal12"/>
    <w:basedOn w:val="Normal"/>
    <w:link w:val="Normal12Char"/>
    <w:rsid w:val="00FF7EB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F7EB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F7EB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F7EB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F7EB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F7EB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F7EB2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FF7EB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F7EB2"/>
    <w:rPr>
      <w:b/>
      <w:sz w:val="24"/>
      <w:lang w:val="hu-HU"/>
    </w:rPr>
  </w:style>
  <w:style w:type="paragraph" w:customStyle="1" w:styleId="Normal12Italic">
    <w:name w:val="Normal12Italic"/>
    <w:basedOn w:val="Normal12"/>
    <w:rsid w:val="00FF7EB2"/>
    <w:rPr>
      <w:i/>
    </w:rPr>
  </w:style>
  <w:style w:type="paragraph" w:customStyle="1" w:styleId="JustificationTitle">
    <w:name w:val="JustificationTitle"/>
    <w:basedOn w:val="Normal"/>
    <w:next w:val="Normal12"/>
    <w:rsid w:val="00FF7EB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F7EB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F7EB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F7E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F7EB2"/>
    <w:pPr>
      <w:spacing w:before="240"/>
      <w:jc w:val="center"/>
    </w:pPr>
    <w:rPr>
      <w:i/>
    </w:rPr>
  </w:style>
  <w:style w:type="character" w:customStyle="1" w:styleId="Footer2Middle">
    <w:name w:val="Footer2Middle"/>
    <w:rsid w:val="00FF7EB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F7EB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FF7E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F7EB2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qFormat/>
    <w:rsid w:val="00FF7EB2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rsid w:val="00FF7EB2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rsid w:val="00FF7EB2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F7E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F7EB2"/>
    <w:rPr>
      <w:b/>
      <w:bCs/>
      <w:lang w:val="hu-HU"/>
    </w:rPr>
  </w:style>
  <w:style w:type="paragraph" w:customStyle="1" w:styleId="Normal1">
    <w:name w:val="Normal1"/>
    <w:basedOn w:val="Normal"/>
    <w:rsid w:val="00FF7EB2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FF7EB2"/>
    <w:rPr>
      <w:sz w:val="24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FF7EB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F7EB2"/>
    <w:rPr>
      <w:rFonts w:ascii="Arial" w:eastAsiaTheme="majorEastAsia" w:hAnsi="Arial" w:cs="Arial"/>
      <w:b/>
      <w:bCs/>
      <w:kern w:val="28"/>
      <w:sz w:val="32"/>
      <w:szCs w:val="32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EB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F7EB2"/>
    <w:rPr>
      <w:rFonts w:ascii="Arial" w:eastAsiaTheme="majorEastAsia" w:hAnsi="Arial" w:cs="Arial"/>
      <w:sz w:val="24"/>
      <w:szCs w:val="24"/>
      <w:lang w:val="hu-HU" w:eastAsia="en-US"/>
    </w:rPr>
  </w:style>
  <w:style w:type="character" w:styleId="Strong">
    <w:name w:val="Strong"/>
    <w:basedOn w:val="DefaultParagraphFont"/>
    <w:uiPriority w:val="22"/>
    <w:qFormat/>
    <w:rsid w:val="00FF7EB2"/>
    <w:rPr>
      <w:b/>
      <w:bCs/>
    </w:rPr>
  </w:style>
  <w:style w:type="character" w:styleId="Emphasis">
    <w:name w:val="Emphasis"/>
    <w:basedOn w:val="DefaultParagraphFont"/>
    <w:uiPriority w:val="20"/>
    <w:qFormat/>
    <w:rsid w:val="00FF7EB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F7EB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FF7EB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F7EB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F7EB2"/>
    <w:rPr>
      <w:rFonts w:eastAsiaTheme="minorHAns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EB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EB2"/>
    <w:rPr>
      <w:rFonts w:eastAsiaTheme="minorHAnsi"/>
      <w:b/>
      <w:i/>
      <w:sz w:val="24"/>
      <w:szCs w:val="22"/>
      <w:lang w:val="hu-HU" w:eastAsia="en-US"/>
    </w:rPr>
  </w:style>
  <w:style w:type="character" w:styleId="SubtleEmphasis">
    <w:name w:val="Subtle Emphasis"/>
    <w:uiPriority w:val="19"/>
    <w:qFormat/>
    <w:rsid w:val="00FF7EB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F7EB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F7EB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F7EB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F7EB2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mNumberTabsChar">
    <w:name w:val="AmNumberTabs Char"/>
    <w:basedOn w:val="DefaultParagraphFont"/>
    <w:link w:val="AmNumberTabs"/>
    <w:rsid w:val="00FF7EB2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FF7EB2"/>
    <w:rPr>
      <w:b/>
      <w:sz w:val="24"/>
      <w:lang w:val="hu-HU"/>
    </w:rPr>
  </w:style>
  <w:style w:type="paragraph" w:customStyle="1" w:styleId="Normal24a">
    <w:name w:val="Normal24a"/>
    <w:basedOn w:val="Normal"/>
    <w:rsid w:val="00FF7EB2"/>
    <w:pPr>
      <w:spacing w:after="480"/>
    </w:pPr>
  </w:style>
  <w:style w:type="paragraph" w:customStyle="1" w:styleId="NormalBoldCenter">
    <w:name w:val="NormalBoldCenter"/>
    <w:basedOn w:val="Normal"/>
    <w:rsid w:val="00FF7EB2"/>
    <w:pPr>
      <w:jc w:val="center"/>
    </w:pPr>
    <w:rPr>
      <w:b/>
    </w:rPr>
  </w:style>
  <w:style w:type="paragraph" w:customStyle="1" w:styleId="Normal12a">
    <w:name w:val="Normal12a"/>
    <w:basedOn w:val="Normal"/>
    <w:rsid w:val="00FF7EB2"/>
    <w:pPr>
      <w:spacing w:after="240"/>
    </w:pPr>
  </w:style>
  <w:style w:type="paragraph" w:customStyle="1" w:styleId="PageHeadingNotTOC">
    <w:name w:val="PageHeadingNotTOC"/>
    <w:basedOn w:val="Normal"/>
    <w:rsid w:val="00FF7E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F7EB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FF7EB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F7EB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F7EB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F7EB2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FF7EB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7EB2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F7E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EB2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921C88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6358C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358C9"/>
    <w:pPr>
      <w:spacing w:after="240"/>
      <w:jc w:val="center"/>
    </w:pPr>
  </w:style>
  <w:style w:type="paragraph" w:customStyle="1" w:styleId="AmDateTab">
    <w:name w:val="AmDateTab"/>
    <w:basedOn w:val="Normal"/>
    <w:rsid w:val="006358C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358C9"/>
    <w:pPr>
      <w:spacing w:before="720" w:after="240"/>
      <w:jc w:val="center"/>
    </w:pPr>
  </w:style>
  <w:style w:type="paragraph" w:customStyle="1" w:styleId="FootnoteTextForceStyle">
    <w:name w:val="Footnote Text ForceStyle"/>
    <w:rsid w:val="006358C9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numbering" w:customStyle="1" w:styleId="NoList1">
    <w:name w:val="No List1"/>
    <w:next w:val="NoList"/>
    <w:uiPriority w:val="99"/>
    <w:semiHidden/>
    <w:unhideWhenUsed/>
    <w:rsid w:val="006358C9"/>
  </w:style>
  <w:style w:type="paragraph" w:customStyle="1" w:styleId="Title1">
    <w:name w:val="Title1"/>
    <w:basedOn w:val="Normal"/>
    <w:next w:val="Normal"/>
    <w:uiPriority w:val="10"/>
    <w:qFormat/>
    <w:rsid w:val="006358C9"/>
    <w:pPr>
      <w:widowControl/>
      <w:spacing w:before="120" w:after="80"/>
      <w:contextualSpacing/>
    </w:pPr>
    <w:rPr>
      <w:rFonts w:ascii="Cambria" w:eastAsia="MS Gothic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6358C9"/>
    <w:pPr>
      <w:widowControl/>
      <w:numPr>
        <w:ilvl w:val="1"/>
      </w:numPr>
      <w:spacing w:before="120" w:after="160" w:line="360" w:lineRule="auto"/>
    </w:pPr>
    <w:rPr>
      <w:rFonts w:ascii="Calibri" w:eastAsia="MS Gothic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6358C9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6358C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6358C9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6358C9"/>
    <w:rPr>
      <w:b/>
      <w:bCs/>
      <w:smallCaps/>
      <w:color w:val="365F91"/>
      <w:spacing w:val="5"/>
    </w:rPr>
  </w:style>
  <w:style w:type="paragraph" w:customStyle="1" w:styleId="Text1">
    <w:name w:val="Text 1"/>
    <w:basedOn w:val="Normal"/>
    <w:rsid w:val="006358C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358C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358C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358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358C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358C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358C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358C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358C9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358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358C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358C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358C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358C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358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358C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358C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358C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6358C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6358C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358C9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6358C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6358C9"/>
    <w:rPr>
      <w:color w:val="2B579A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58C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358C9"/>
    <w:rPr>
      <w:color w:val="800080"/>
      <w:u w:val="single"/>
    </w:rPr>
  </w:style>
  <w:style w:type="character" w:customStyle="1" w:styleId="TitleChar1">
    <w:name w:val="Title Char1"/>
    <w:basedOn w:val="DefaultParagraphFont"/>
    <w:rsid w:val="006358C9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character" w:customStyle="1" w:styleId="SubtitleChar1">
    <w:name w:val="Subtitle Char1"/>
    <w:basedOn w:val="DefaultParagraphFont"/>
    <w:rsid w:val="006358C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customStyle="1" w:styleId="QuoteChar1">
    <w:name w:val="Quote Char1"/>
    <w:basedOn w:val="DefaultParagraphFont"/>
    <w:uiPriority w:val="29"/>
    <w:rsid w:val="006358C9"/>
    <w:rPr>
      <w:i/>
      <w:iCs/>
      <w:color w:val="404040" w:themeColor="text1" w:themeTint="BF"/>
      <w:sz w:val="24"/>
      <w:lang w:val="hu-HU"/>
    </w:rPr>
  </w:style>
  <w:style w:type="character" w:customStyle="1" w:styleId="IntenseQuoteChar1">
    <w:name w:val="Intense Quote Char1"/>
    <w:basedOn w:val="DefaultParagraphFont"/>
    <w:uiPriority w:val="30"/>
    <w:rsid w:val="006358C9"/>
    <w:rPr>
      <w:i/>
      <w:iCs/>
      <w:color w:val="5B9BD5" w:themeColor="accent1"/>
      <w:sz w:val="24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6358C9"/>
  </w:style>
  <w:style w:type="paragraph" w:styleId="ListBullet">
    <w:name w:val="List Bullet"/>
    <w:basedOn w:val="Normal"/>
    <w:uiPriority w:val="99"/>
    <w:unhideWhenUsed/>
    <w:rsid w:val="006358C9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358C9"/>
    <w:pPr>
      <w:widowControl/>
      <w:tabs>
        <w:tab w:val="num" w:pos="360"/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358C9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358C9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rsid w:val="006358C9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6358C9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358C9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6358C9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358C9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6358C9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6358C9"/>
    <w:pPr>
      <w:widowControl/>
      <w:spacing w:before="100" w:beforeAutospacing="1" w:after="100" w:afterAutospacing="1" w:line="360" w:lineRule="auto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6358C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358C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358C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358C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358C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358C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6358C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358C9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358C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6358C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358C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6358C9"/>
    <w:pPr>
      <w:numPr>
        <w:numId w:val="5"/>
      </w:numPr>
      <w:tabs>
        <w:tab w:val="clear" w:pos="850"/>
        <w:tab w:val="num" w:pos="1800"/>
      </w:tabs>
      <w:ind w:left="1800" w:hanging="360"/>
    </w:pPr>
  </w:style>
  <w:style w:type="paragraph" w:customStyle="1" w:styleId="Tiret2">
    <w:name w:val="Tiret 2"/>
    <w:basedOn w:val="Point2"/>
    <w:rsid w:val="006358C9"/>
    <w:pPr>
      <w:numPr>
        <w:numId w:val="6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6358C9"/>
    <w:pPr>
      <w:numPr>
        <w:numId w:val="7"/>
      </w:numPr>
      <w:tabs>
        <w:tab w:val="clear" w:pos="2551"/>
        <w:tab w:val="num" w:pos="360"/>
      </w:tabs>
      <w:ind w:left="360" w:hanging="360"/>
    </w:pPr>
  </w:style>
  <w:style w:type="paragraph" w:customStyle="1" w:styleId="Tiret4">
    <w:name w:val="Tiret 4"/>
    <w:basedOn w:val="Point4"/>
    <w:rsid w:val="006358C9"/>
    <w:pPr>
      <w:numPr>
        <w:numId w:val="8"/>
      </w:numPr>
      <w:tabs>
        <w:tab w:val="clear" w:pos="3118"/>
        <w:tab w:val="num" w:pos="720"/>
      </w:tabs>
      <w:ind w:left="720" w:hanging="360"/>
    </w:pPr>
  </w:style>
  <w:style w:type="paragraph" w:customStyle="1" w:styleId="PointDouble0">
    <w:name w:val="PointDouble 0"/>
    <w:basedOn w:val="Normal"/>
    <w:rsid w:val="006358C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358C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358C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358C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358C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358C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358C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358C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358C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358C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358C9"/>
    <w:pPr>
      <w:widowControl/>
      <w:numPr>
        <w:numId w:val="9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358C9"/>
    <w:pPr>
      <w:widowControl/>
      <w:numPr>
        <w:ilvl w:val="1"/>
        <w:numId w:val="9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358C9"/>
    <w:pPr>
      <w:widowControl/>
      <w:numPr>
        <w:ilvl w:val="2"/>
        <w:numId w:val="9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358C9"/>
    <w:pPr>
      <w:widowControl/>
      <w:numPr>
        <w:ilvl w:val="3"/>
        <w:numId w:val="9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358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358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358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358C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358C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358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358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358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358C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358C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358C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358C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6358C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6358C9"/>
    <w:pPr>
      <w:widowControl/>
      <w:numPr>
        <w:numId w:val="10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358C9"/>
    <w:pPr>
      <w:widowControl/>
      <w:numPr>
        <w:ilvl w:val="2"/>
        <w:numId w:val="10"/>
      </w:numPr>
      <w:tabs>
        <w:tab w:val="clear" w:pos="141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358C9"/>
    <w:pPr>
      <w:widowControl/>
      <w:numPr>
        <w:ilvl w:val="4"/>
        <w:numId w:val="10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358C9"/>
    <w:pPr>
      <w:widowControl/>
      <w:numPr>
        <w:ilvl w:val="6"/>
        <w:numId w:val="10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358C9"/>
    <w:pPr>
      <w:widowControl/>
      <w:numPr>
        <w:ilvl w:val="1"/>
        <w:numId w:val="10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6358C9"/>
    <w:pPr>
      <w:widowControl/>
      <w:numPr>
        <w:ilvl w:val="3"/>
        <w:numId w:val="10"/>
      </w:numPr>
      <w:tabs>
        <w:tab w:val="clear" w:pos="141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358C9"/>
    <w:pPr>
      <w:widowControl/>
      <w:numPr>
        <w:ilvl w:val="5"/>
        <w:numId w:val="10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358C9"/>
    <w:pPr>
      <w:widowControl/>
      <w:numPr>
        <w:ilvl w:val="7"/>
        <w:numId w:val="10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358C9"/>
    <w:pPr>
      <w:widowControl/>
      <w:numPr>
        <w:ilvl w:val="8"/>
        <w:numId w:val="10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358C9"/>
    <w:pPr>
      <w:widowControl/>
      <w:numPr>
        <w:numId w:val="11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358C9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358C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358C9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358C9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6358C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6358C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6358C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358C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6358C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358C9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358C9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6358C9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358C9"/>
    <w:pPr>
      <w:widowControl/>
      <w:numPr>
        <w:numId w:val="12"/>
      </w:numPr>
      <w:tabs>
        <w:tab w:val="clear" w:pos="70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358C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358C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358C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6358C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358C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358C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358C9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6358C9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6358C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6358C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6358C9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6358C9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6358C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6358C9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6358C9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6358C9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6358C9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6358C9"/>
    <w:rPr>
      <w:rFonts w:ascii="Times New Roman" w:hAnsi="Times New Roman" w:cs="Times New Roman"/>
      <w:sz w:val="2"/>
      <w:lang w:val="hu-HU"/>
    </w:rPr>
  </w:style>
  <w:style w:type="paragraph" w:customStyle="1" w:styleId="FooterText">
    <w:name w:val="Footer Text"/>
    <w:basedOn w:val="Normal"/>
    <w:rsid w:val="006358C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358C9"/>
    <w:rPr>
      <w:color w:val="808080"/>
    </w:rPr>
  </w:style>
  <w:style w:type="paragraph" w:customStyle="1" w:styleId="NormalCentered">
    <w:name w:val="Normal Centered"/>
    <w:basedOn w:val="Normal"/>
    <w:rsid w:val="006358C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358C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358C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358C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358C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358C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358C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358C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358C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358C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4">
    <w:name w:val="Text 4"/>
    <w:basedOn w:val="Normal"/>
    <w:rsid w:val="006358C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358C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358C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358C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358C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358C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358C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358C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358C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358C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358C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358C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358C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358C9"/>
    <w:pPr>
      <w:widowControl/>
      <w:numPr>
        <w:ilvl w:val="1"/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358C9"/>
    <w:pPr>
      <w:widowControl/>
      <w:numPr>
        <w:ilvl w:val="3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358C9"/>
    <w:pPr>
      <w:widowControl/>
      <w:numPr>
        <w:ilvl w:val="5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358C9"/>
    <w:pPr>
      <w:widowControl/>
      <w:numPr>
        <w:ilvl w:val="7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358C9"/>
    <w:pPr>
      <w:widowControl/>
      <w:numPr>
        <w:ilvl w:val="8"/>
        <w:numId w:val="2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358C9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358C9"/>
    <w:pPr>
      <w:widowControl/>
      <w:numPr>
        <w:ilvl w:val="2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358C9"/>
    <w:pPr>
      <w:widowControl/>
      <w:numPr>
        <w:ilvl w:val="4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358C9"/>
    <w:pPr>
      <w:widowControl/>
      <w:numPr>
        <w:ilvl w:val="6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358C9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358C9"/>
    <w:pPr>
      <w:widowControl/>
      <w:numPr>
        <w:ilvl w:val="1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358C9"/>
    <w:pPr>
      <w:widowControl/>
      <w:numPr>
        <w:ilvl w:val="2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358C9"/>
    <w:pPr>
      <w:widowControl/>
      <w:numPr>
        <w:ilvl w:val="3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358C9"/>
    <w:pPr>
      <w:widowControl/>
      <w:numPr>
        <w:ilvl w:val="4"/>
        <w:numId w:val="2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358C9"/>
    <w:pPr>
      <w:widowControl/>
      <w:numPr>
        <w:numId w:val="2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358C9"/>
    <w:pPr>
      <w:widowControl/>
      <w:numPr>
        <w:numId w:val="2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358C9"/>
    <w:pPr>
      <w:widowControl/>
      <w:numPr>
        <w:numId w:val="2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358C9"/>
    <w:pPr>
      <w:widowControl/>
      <w:numPr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358C9"/>
    <w:pPr>
      <w:widowControl/>
      <w:numPr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358C9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358C9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358C9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358C9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358C9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358C9"/>
    <w:pPr>
      <w:numPr>
        <w:numId w:val="18"/>
      </w:numPr>
      <w:tabs>
        <w:tab w:val="clear" w:pos="567"/>
      </w:tabs>
      <w:ind w:left="720" w:hanging="360"/>
    </w:pPr>
  </w:style>
  <w:style w:type="paragraph" w:customStyle="1" w:styleId="DashEqual1">
    <w:name w:val="Dash Equal 1"/>
    <w:basedOn w:val="Dash1"/>
    <w:rsid w:val="006358C9"/>
    <w:pPr>
      <w:numPr>
        <w:numId w:val="19"/>
      </w:numPr>
      <w:tabs>
        <w:tab w:val="clear" w:pos="1134"/>
      </w:tabs>
      <w:ind w:left="1080" w:hanging="720"/>
    </w:pPr>
  </w:style>
  <w:style w:type="paragraph" w:customStyle="1" w:styleId="DashEqual2">
    <w:name w:val="Dash Equal 2"/>
    <w:basedOn w:val="Dash2"/>
    <w:rsid w:val="006358C9"/>
    <w:pPr>
      <w:numPr>
        <w:numId w:val="20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6358C9"/>
    <w:pPr>
      <w:numPr>
        <w:numId w:val="21"/>
      </w:numPr>
      <w:tabs>
        <w:tab w:val="clear" w:pos="2268"/>
        <w:tab w:val="num" w:pos="1417"/>
      </w:tabs>
      <w:ind w:left="1417"/>
    </w:pPr>
  </w:style>
  <w:style w:type="paragraph" w:customStyle="1" w:styleId="DashEqual4">
    <w:name w:val="Dash Equal 4"/>
    <w:basedOn w:val="Dash4"/>
    <w:rsid w:val="006358C9"/>
    <w:pPr>
      <w:numPr>
        <w:numId w:val="22"/>
      </w:numPr>
      <w:tabs>
        <w:tab w:val="clear" w:pos="2835"/>
        <w:tab w:val="num" w:pos="360"/>
      </w:tabs>
      <w:ind w:left="1405" w:hanging="555"/>
    </w:pPr>
  </w:style>
  <w:style w:type="character" w:customStyle="1" w:styleId="Marker">
    <w:name w:val="Marker"/>
    <w:basedOn w:val="DefaultParagraphFont"/>
    <w:rsid w:val="006358C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358C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358C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358C9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6358C9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6358C9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6358C9"/>
    <w:pPr>
      <w:jc w:val="center"/>
    </w:pPr>
  </w:style>
  <w:style w:type="paragraph" w:customStyle="1" w:styleId="Jardin">
    <w:name w:val="Jardin"/>
    <w:basedOn w:val="Normal"/>
    <w:rsid w:val="006358C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358C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358C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358C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358C9"/>
    <w:rPr>
      <w:b/>
    </w:rPr>
  </w:style>
  <w:style w:type="paragraph" w:customStyle="1" w:styleId="Annex">
    <w:name w:val="Annex"/>
    <w:basedOn w:val="Normal"/>
    <w:next w:val="Normal"/>
    <w:rsid w:val="006358C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358C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358C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358C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358C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358C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358C9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6358C9"/>
    <w:rPr>
      <w:vertAlign w:val="superscript"/>
    </w:rPr>
  </w:style>
  <w:style w:type="character" w:customStyle="1" w:styleId="normaltextrun">
    <w:name w:val="normaltextrun"/>
    <w:basedOn w:val="DefaultParagraphFont"/>
    <w:rsid w:val="006358C9"/>
  </w:style>
  <w:style w:type="paragraph" w:customStyle="1" w:styleId="CharCharChar1">
    <w:name w:val="Char Char Char1"/>
    <w:basedOn w:val="Normal"/>
    <w:link w:val="FootnoteReference"/>
    <w:uiPriority w:val="99"/>
    <w:rsid w:val="006358C9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358C9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358C9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NumPar5">
    <w:name w:val="NumPar 5"/>
    <w:basedOn w:val="Normal"/>
    <w:next w:val="Text2"/>
    <w:rsid w:val="006358C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358C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358C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Normal"/>
    <w:rsid w:val="006358C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paragraph">
    <w:name w:val="paragraph"/>
    <w:basedOn w:val="Normal"/>
    <w:rsid w:val="006358C9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6358C9"/>
  </w:style>
  <w:style w:type="character" w:customStyle="1" w:styleId="cf01">
    <w:name w:val="cf01"/>
    <w:basedOn w:val="DefaultParagraphFont"/>
    <w:rsid w:val="006358C9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6358C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6358C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6358C9"/>
    <w:pPr>
      <w:numPr>
        <w:numId w:val="33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6358C9"/>
    <w:pPr>
      <w:numPr>
        <w:numId w:val="34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6358C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358C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6358C9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6358C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6358C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358C9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6358C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6358C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6358C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358C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358C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6358C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358C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358C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358C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358C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358C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358C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358C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358C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358C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358C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358C9"/>
    <w:pPr>
      <w:widowControl/>
      <w:numPr>
        <w:numId w:val="35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358C9"/>
    <w:pPr>
      <w:widowControl/>
      <w:numPr>
        <w:numId w:val="36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358C9"/>
    <w:pPr>
      <w:widowControl/>
      <w:numPr>
        <w:numId w:val="37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358C9"/>
    <w:pPr>
      <w:widowControl/>
      <w:numPr>
        <w:numId w:val="38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358C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358C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358C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358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358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358C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358C9"/>
    <w:pPr>
      <w:widowControl/>
      <w:numPr>
        <w:numId w:val="39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358C9"/>
    <w:pPr>
      <w:widowControl/>
      <w:numPr>
        <w:numId w:val="40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358C9"/>
    <w:pPr>
      <w:widowControl/>
      <w:numPr>
        <w:numId w:val="41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358C9"/>
    <w:pPr>
      <w:widowControl/>
      <w:numPr>
        <w:numId w:val="42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358C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358C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6358C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358C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6358C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358C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358C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358C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358C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358C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358C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358C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358C9"/>
    <w:pPr>
      <w:spacing w:before="240"/>
    </w:pPr>
  </w:style>
  <w:style w:type="paragraph" w:customStyle="1" w:styleId="Accordtitre">
    <w:name w:val="Accord titre"/>
    <w:basedOn w:val="Normal"/>
    <w:rsid w:val="006358C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358C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358C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358C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358C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358C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358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358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358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358C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358C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358C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358C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358C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358C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358C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358C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358C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358C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358C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358C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358C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358C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358C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358C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358C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358C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358C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358C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358C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358C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358C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358C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6358C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358C9"/>
    <w:pPr>
      <w:pBdr>
        <w:top w:val="none" w:sz="0" w:space="0" w:color="auto"/>
        <w:left w:val="single" w:sz="4" w:space="20" w:color="auto"/>
      </w:pBdr>
    </w:pPr>
  </w:style>
  <w:style w:type="paragraph" w:customStyle="1" w:styleId="Annexetitreexposglobal">
    <w:name w:val="Annexe titre (exposé global)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styleId="Caption">
    <w:name w:val="caption"/>
    <w:basedOn w:val="Normal"/>
    <w:next w:val="Normal"/>
    <w:uiPriority w:val="99"/>
    <w:qFormat/>
    <w:rsid w:val="006358C9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fr-FR"/>
    </w:rPr>
  </w:style>
  <w:style w:type="paragraph" w:customStyle="1" w:styleId="Rfrenceinstitutionelle">
    <w:name w:val="Référence institutionelle"/>
    <w:basedOn w:val="Normal"/>
    <w:next w:val="Statut"/>
    <w:uiPriority w:val="99"/>
    <w:rsid w:val="006358C9"/>
    <w:pPr>
      <w:widowControl/>
      <w:autoSpaceDE w:val="0"/>
      <w:autoSpaceDN w:val="0"/>
      <w:spacing w:after="240"/>
      <w:ind w:left="5103"/>
    </w:pPr>
    <w:rPr>
      <w:szCs w:val="24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dimpactPMEtitre">
    <w:name w:val="Fiche d'impact PME titre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6358C9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6358C9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Langueoriginale">
    <w:name w:val="Langue originale"/>
    <w:basedOn w:val="Normal"/>
    <w:next w:val="Phrasefinale"/>
    <w:uiPriority w:val="99"/>
    <w:rsid w:val="006358C9"/>
    <w:pPr>
      <w:widowControl/>
      <w:autoSpaceDE w:val="0"/>
      <w:autoSpaceDN w:val="0"/>
      <w:spacing w:before="360" w:after="120"/>
      <w:jc w:val="center"/>
    </w:pPr>
    <w:rPr>
      <w:caps/>
      <w:szCs w:val="24"/>
      <w:lang w:val="fr-FR"/>
    </w:rPr>
  </w:style>
  <w:style w:type="paragraph" w:customStyle="1" w:styleId="Phrasefinale">
    <w:name w:val="Phrase finale"/>
    <w:basedOn w:val="Normal"/>
    <w:next w:val="Normal"/>
    <w:uiPriority w:val="99"/>
    <w:rsid w:val="006358C9"/>
    <w:pPr>
      <w:widowControl/>
      <w:autoSpaceDE w:val="0"/>
      <w:autoSpaceDN w:val="0"/>
      <w:spacing w:before="360"/>
      <w:jc w:val="center"/>
    </w:pPr>
    <w:rPr>
      <w:szCs w:val="24"/>
      <w:lang w:val="fr-FR"/>
    </w:rPr>
  </w:style>
  <w:style w:type="paragraph" w:customStyle="1" w:styleId="Prliminairetitre">
    <w:name w:val="Préliminaire titre"/>
    <w:basedOn w:val="Normal"/>
    <w:next w:val="Normal"/>
    <w:uiPriority w:val="99"/>
    <w:rsid w:val="006358C9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fr-FR"/>
    </w:rPr>
  </w:style>
  <w:style w:type="paragraph" w:customStyle="1" w:styleId="Prliminairetype">
    <w:name w:val="Préliminaire type"/>
    <w:basedOn w:val="Normal"/>
    <w:next w:val="Normal"/>
    <w:uiPriority w:val="99"/>
    <w:rsid w:val="006358C9"/>
    <w:pPr>
      <w:widowControl/>
      <w:autoSpaceDE w:val="0"/>
      <w:autoSpaceDN w:val="0"/>
      <w:spacing w:before="360"/>
      <w:jc w:val="center"/>
    </w:pPr>
    <w:rPr>
      <w:b/>
      <w:bCs/>
      <w:szCs w:val="24"/>
      <w:lang w:val="fr-FR"/>
    </w:rPr>
  </w:style>
  <w:style w:type="paragraph" w:styleId="TOAHeading">
    <w:name w:val="toa heading"/>
    <w:basedOn w:val="Normal"/>
    <w:next w:val="Normal"/>
    <w:uiPriority w:val="99"/>
    <w:rsid w:val="006358C9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6358C9"/>
  </w:style>
  <w:style w:type="paragraph" w:customStyle="1" w:styleId="Titredumodificateur">
    <w:name w:val="Titre du modificateur"/>
    <w:basedOn w:val="Normal"/>
    <w:next w:val="Annexetitrefichefinacte"/>
    <w:uiPriority w:val="99"/>
    <w:rsid w:val="006358C9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6358C9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LegalNumPar">
    <w:name w:val="LegalNumPar"/>
    <w:basedOn w:val="Normal"/>
    <w:rsid w:val="006358C9"/>
    <w:pPr>
      <w:widowControl/>
      <w:numPr>
        <w:numId w:val="43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2">
    <w:name w:val="LegalNumPar2"/>
    <w:basedOn w:val="Normal"/>
    <w:rsid w:val="006358C9"/>
    <w:pPr>
      <w:widowControl/>
      <w:numPr>
        <w:ilvl w:val="1"/>
        <w:numId w:val="43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3">
    <w:name w:val="LegalNumPar3"/>
    <w:basedOn w:val="Normal"/>
    <w:rsid w:val="006358C9"/>
    <w:pPr>
      <w:widowControl/>
      <w:numPr>
        <w:ilvl w:val="2"/>
        <w:numId w:val="43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ti-art">
    <w:name w:val="ti-art"/>
    <w:basedOn w:val="Normal"/>
    <w:rsid w:val="006358C9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angue">
    <w:name w:val="Langue"/>
    <w:basedOn w:val="Normal"/>
    <w:next w:val="Rfrenceinterne"/>
    <w:rsid w:val="006358C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358C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6358C9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6358C9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rsid w:val="006358C9"/>
    <w:pPr>
      <w:spacing w:line="240" w:lineRule="auto"/>
    </w:pPr>
  </w:style>
  <w:style w:type="paragraph" w:customStyle="1" w:styleId="Rfrencecroise">
    <w:name w:val="Référence croisée"/>
    <w:basedOn w:val="Normal"/>
    <w:rsid w:val="006358C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358C9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358C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358C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6358C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358C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upertitre">
    <w:name w:val="Supertitre"/>
    <w:basedOn w:val="Normal"/>
    <w:next w:val="Normal"/>
    <w:rsid w:val="006358C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358C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358C9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358C9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6358C9"/>
    <w:pPr>
      <w:spacing w:line="240" w:lineRule="auto"/>
    </w:pPr>
  </w:style>
  <w:style w:type="paragraph" w:customStyle="1" w:styleId="Volume">
    <w:name w:val="Volume"/>
    <w:basedOn w:val="Normal"/>
    <w:next w:val="Confidentialit"/>
    <w:rsid w:val="006358C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6358C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358C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6358C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358C9"/>
  </w:style>
  <w:style w:type="paragraph" w:customStyle="1" w:styleId="ObjetacteprincipalPagedecouverture">
    <w:name w:val="Objet acte principal (Page de couverture)"/>
    <w:basedOn w:val="Objetacteprincipal"/>
    <w:next w:val="Rfrencecroise"/>
    <w:rsid w:val="006358C9"/>
  </w:style>
  <w:style w:type="paragraph" w:customStyle="1" w:styleId="LanguesfaisantfoiPagedecouverture">
    <w:name w:val="Langues faisant foi (Page de couverture)"/>
    <w:basedOn w:val="Normal"/>
    <w:next w:val="Normal"/>
    <w:rsid w:val="006358C9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6358C9"/>
    <w:rPr>
      <w:sz w:val="24"/>
      <w:szCs w:val="24"/>
    </w:rPr>
  </w:style>
  <w:style w:type="paragraph" w:customStyle="1" w:styleId="Normal2">
    <w:name w:val="Normal2"/>
    <w:basedOn w:val="Normal"/>
    <w:rsid w:val="006358C9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6358C9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6358C9"/>
  </w:style>
  <w:style w:type="paragraph" w:customStyle="1" w:styleId="Normal3">
    <w:name w:val="Normal3"/>
    <w:basedOn w:val="Normal"/>
    <w:rsid w:val="006358C9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6358C9"/>
  </w:style>
  <w:style w:type="paragraph" w:customStyle="1" w:styleId="norm">
    <w:name w:val="norm"/>
    <w:basedOn w:val="Normal"/>
    <w:rsid w:val="006358C9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6358C9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6358C9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6358C9"/>
  </w:style>
  <w:style w:type="character" w:customStyle="1" w:styleId="highlight">
    <w:name w:val="highlight"/>
    <w:basedOn w:val="DefaultParagraphFont"/>
    <w:rsid w:val="006358C9"/>
  </w:style>
  <w:style w:type="numbering" w:customStyle="1" w:styleId="NoList3">
    <w:name w:val="No List3"/>
    <w:next w:val="NoList"/>
    <w:uiPriority w:val="99"/>
    <w:semiHidden/>
    <w:unhideWhenUsed/>
    <w:rsid w:val="006358C9"/>
  </w:style>
  <w:style w:type="numbering" w:customStyle="1" w:styleId="NoList4">
    <w:name w:val="No List4"/>
    <w:next w:val="NoList"/>
    <w:uiPriority w:val="99"/>
    <w:semiHidden/>
    <w:unhideWhenUsed/>
    <w:rsid w:val="006358C9"/>
  </w:style>
  <w:style w:type="character" w:customStyle="1" w:styleId="TBNormalTechnicalBlockChar">
    <w:name w:val="TBNormalTechnicalBlock Char"/>
    <w:basedOn w:val="TechnicalBlockBaseChar"/>
    <w:link w:val="TBNormalTechnicalBlock"/>
    <w:rsid w:val="006358C9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hu-HU" w:eastAsia="fr-BE"/>
    </w:rPr>
  </w:style>
  <w:style w:type="character" w:customStyle="1" w:styleId="EntReferChar">
    <w:name w:val="EntRefer Char"/>
    <w:basedOn w:val="DefaultParagraphFont"/>
    <w:link w:val="TBEntRefer"/>
    <w:rsid w:val="006358C9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DistrbMarkers">
    <w:name w:val="TBDistrbMarkers"/>
    <w:basedOn w:val="TBEntRefer"/>
    <w:qFormat/>
    <w:rsid w:val="006358C9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6358C9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6358C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6358C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6358C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itle-bold">
    <w:name w:val="title-bold"/>
    <w:basedOn w:val="Normal"/>
    <w:rsid w:val="006358C9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Manual">
    <w:name w:val="Manual"/>
    <w:basedOn w:val="Normal"/>
    <w:rsid w:val="006358C9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titreobjetcp">
    <w:name w:val="titreobjet_cp"/>
    <w:basedOn w:val="Normal"/>
    <w:rsid w:val="006358C9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AF4E2-6411-42CE-9D56-5879D0B4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2872</Characters>
  <Application>Microsoft Office Word</Application>
  <DocSecurity>0</DocSecurity>
  <Lines>53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2026-05-12T08:50:00Z</dcterms:created>
  <dcterms:modified xsi:type="dcterms:W3CDTF">2026-05-12T08:50:00Z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