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569C" w14:paraId="34F8C5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F5863A" w14:textId="77777777" w:rsidR="00751A4A" w:rsidRPr="00D7569C" w:rsidRDefault="00012A66" w:rsidP="0010095E">
            <w:pPr>
              <w:pStyle w:val="EPName"/>
            </w:pPr>
            <w:r w:rsidRPr="00D7569C">
              <w:t>Europos Parlamentas</w:t>
            </w:r>
          </w:p>
          <w:p w14:paraId="2F2B3876" w14:textId="77777777" w:rsidR="00751A4A" w:rsidRPr="00D756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569C">
              <w:t>2024</w:t>
            </w:r>
            <w:r w:rsidR="00817416" w:rsidRPr="00D7569C">
              <w:t>-202</w:t>
            </w:r>
            <w:r w:rsidRPr="00D7569C">
              <w:t>9</w:t>
            </w:r>
          </w:p>
        </w:tc>
        <w:tc>
          <w:tcPr>
            <w:tcW w:w="2268" w:type="dxa"/>
            <w:shd w:val="clear" w:color="auto" w:fill="auto"/>
          </w:tcPr>
          <w:p w14:paraId="2821D518" w14:textId="77777777" w:rsidR="00751A4A" w:rsidRPr="00D7569C" w:rsidRDefault="00187494" w:rsidP="0010095E">
            <w:pPr>
              <w:pStyle w:val="EPLogo"/>
            </w:pPr>
            <w:r w:rsidRPr="00D7569C">
              <w:rPr>
                <w:noProof/>
                <w:lang w:eastAsia="ja-JP"/>
              </w:rPr>
              <w:drawing>
                <wp:inline distT="0" distB="0" distL="0" distR="0" wp14:anchorId="0849A0F9" wp14:editId="0BB133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BC7EEF" w14:textId="77777777" w:rsidR="00D058B8" w:rsidRPr="00D7569C" w:rsidRDefault="00D058B8" w:rsidP="004C5D52">
      <w:pPr>
        <w:pStyle w:val="LineTop"/>
      </w:pPr>
    </w:p>
    <w:p w14:paraId="485E77B5" w14:textId="77777777" w:rsidR="00680577" w:rsidRPr="00D7569C" w:rsidRDefault="00012A66" w:rsidP="00680577">
      <w:pPr>
        <w:pStyle w:val="EPBodyTA1"/>
      </w:pPr>
      <w:r w:rsidRPr="00D7569C">
        <w:t>PRIIMTI TEKSTAI</w:t>
      </w:r>
    </w:p>
    <w:p w14:paraId="6B232F45" w14:textId="77777777" w:rsidR="00D058B8" w:rsidRPr="00D7569C" w:rsidRDefault="00D058B8" w:rsidP="00D058B8">
      <w:pPr>
        <w:pStyle w:val="LineBottom"/>
      </w:pPr>
    </w:p>
    <w:p w14:paraId="3FD96613" w14:textId="68EE0D66" w:rsidR="00012A66" w:rsidRPr="00D7569C" w:rsidRDefault="00012A66" w:rsidP="00012A66">
      <w:pPr>
        <w:pStyle w:val="ATHeading1"/>
      </w:pPr>
      <w:bookmarkStart w:id="0" w:name="TANumber"/>
      <w:r w:rsidRPr="00D7569C">
        <w:t>P10_TA(2026)00</w:t>
      </w:r>
      <w:r w:rsidR="00B30E25">
        <w:t>94</w:t>
      </w:r>
      <w:bookmarkEnd w:id="0"/>
    </w:p>
    <w:p w14:paraId="122DB20F" w14:textId="77777777" w:rsidR="00012A66" w:rsidRPr="00D7569C" w:rsidRDefault="00012A66" w:rsidP="00012A66">
      <w:pPr>
        <w:pStyle w:val="ATHeading2"/>
      </w:pPr>
      <w:bookmarkStart w:id="1" w:name="title"/>
      <w:r w:rsidRPr="00D7569C">
        <w:t>Kova su korupcija</w:t>
      </w:r>
      <w:bookmarkEnd w:id="1"/>
    </w:p>
    <w:p w14:paraId="7E14A40A" w14:textId="14CFB9B2" w:rsidR="00012A66" w:rsidRPr="00D7569C" w:rsidRDefault="00012A66" w:rsidP="00012A66">
      <w:pPr>
        <w:rPr>
          <w:i/>
          <w:vanish/>
        </w:rPr>
      </w:pPr>
      <w:r w:rsidRPr="00D7569C">
        <w:rPr>
          <w:i/>
        </w:rPr>
        <w:fldChar w:fldCharType="begin"/>
      </w:r>
      <w:r w:rsidRPr="00D7569C">
        <w:rPr>
          <w:i/>
        </w:rPr>
        <w:instrText xml:space="preserve"> TC"(</w:instrText>
      </w:r>
      <w:bookmarkStart w:id="2" w:name="DocNumber"/>
      <w:r w:rsidRPr="00D7569C">
        <w:rPr>
          <w:i/>
        </w:rPr>
        <w:instrText>A9-0048/2024</w:instrText>
      </w:r>
      <w:bookmarkEnd w:id="2"/>
      <w:r w:rsidRPr="00D7569C">
        <w:rPr>
          <w:i/>
        </w:rPr>
        <w:instrText xml:space="preserve"> - Pranešėja: </w:instrText>
      </w:r>
      <w:proofErr w:type="spellStart"/>
      <w:r w:rsidR="00492C39" w:rsidRPr="00B30E25">
        <w:rPr>
          <w:i/>
        </w:rPr>
        <w:instrText>Raquel</w:instrText>
      </w:r>
      <w:proofErr w:type="spellEnd"/>
      <w:r w:rsidR="00492C39" w:rsidRPr="00B30E25">
        <w:rPr>
          <w:i/>
        </w:rPr>
        <w:instrText xml:space="preserve"> </w:instrText>
      </w:r>
      <w:proofErr w:type="spellStart"/>
      <w:r w:rsidR="00492C39" w:rsidRPr="00B30E25">
        <w:rPr>
          <w:i/>
        </w:rPr>
        <w:instrText>García</w:instrText>
      </w:r>
      <w:proofErr w:type="spellEnd"/>
      <w:r w:rsidR="00492C39" w:rsidRPr="00B30E25">
        <w:rPr>
          <w:i/>
        </w:rPr>
        <w:instrText xml:space="preserve"> </w:instrText>
      </w:r>
      <w:proofErr w:type="spellStart"/>
      <w:r w:rsidR="00492C39" w:rsidRPr="00B30E25">
        <w:rPr>
          <w:i/>
        </w:rPr>
        <w:instrText>Hermida</w:instrText>
      </w:r>
      <w:proofErr w:type="spellEnd"/>
      <w:r w:rsidR="00492C39" w:rsidRPr="00B30E25">
        <w:rPr>
          <w:i/>
        </w:rPr>
        <w:instrText xml:space="preserve">-Van </w:instrText>
      </w:r>
      <w:proofErr w:type="spellStart"/>
      <w:r w:rsidR="00492C39" w:rsidRPr="00B30E25">
        <w:rPr>
          <w:i/>
        </w:rPr>
        <w:instrText>Der</w:instrText>
      </w:r>
      <w:proofErr w:type="spellEnd"/>
      <w:r w:rsidR="00492C39" w:rsidRPr="00B30E25">
        <w:rPr>
          <w:i/>
        </w:rPr>
        <w:instrText xml:space="preserve"> </w:instrText>
      </w:r>
      <w:proofErr w:type="spellStart"/>
      <w:r w:rsidR="00492C39" w:rsidRPr="00B30E25">
        <w:rPr>
          <w:i/>
        </w:rPr>
        <w:instrText>Walle</w:instrText>
      </w:r>
      <w:proofErr w:type="spellEnd"/>
      <w:r w:rsidRPr="00492C39">
        <w:rPr>
          <w:i/>
        </w:rPr>
        <w:instrText>)"\l3 \n&gt; \*</w:instrText>
      </w:r>
      <w:r w:rsidRPr="00D7569C">
        <w:rPr>
          <w:i/>
        </w:rPr>
        <w:instrText xml:space="preserve"> MERGEFORMAT </w:instrText>
      </w:r>
      <w:r w:rsidRPr="00D7569C">
        <w:rPr>
          <w:i/>
        </w:rPr>
        <w:fldChar w:fldCharType="end"/>
      </w:r>
    </w:p>
    <w:p w14:paraId="78E6157B" w14:textId="77777777" w:rsidR="00012A66" w:rsidRPr="00D7569C" w:rsidRDefault="00012A66" w:rsidP="00012A66">
      <w:pPr>
        <w:rPr>
          <w:vanish/>
        </w:rPr>
      </w:pPr>
      <w:bookmarkStart w:id="3" w:name="Commission"/>
      <w:r w:rsidRPr="00D7569C">
        <w:rPr>
          <w:vanish/>
        </w:rPr>
        <w:t>Piliečių laisvių, teisingumo ir vidaus reikalų komitetas</w:t>
      </w:r>
      <w:bookmarkEnd w:id="3"/>
    </w:p>
    <w:p w14:paraId="2DD307A5" w14:textId="77777777" w:rsidR="00012A66" w:rsidRPr="00D7569C" w:rsidRDefault="00012A66" w:rsidP="00012A66">
      <w:pPr>
        <w:rPr>
          <w:vanish/>
        </w:rPr>
      </w:pPr>
      <w:bookmarkStart w:id="4" w:name="PE"/>
      <w:r w:rsidRPr="00D7569C">
        <w:rPr>
          <w:vanish/>
        </w:rPr>
        <w:t>PE753.573</w:t>
      </w:r>
      <w:bookmarkEnd w:id="4"/>
    </w:p>
    <w:p w14:paraId="13D91771" w14:textId="0A89B50A" w:rsidR="00012A66" w:rsidRPr="00D7569C" w:rsidRDefault="00012A66" w:rsidP="00012A66">
      <w:pPr>
        <w:pStyle w:val="ATHeading3"/>
      </w:pPr>
      <w:bookmarkStart w:id="5" w:name="Sujet"/>
      <w:r w:rsidRPr="00D7569C">
        <w:t xml:space="preserve">2026 m. </w:t>
      </w:r>
      <w:r w:rsidR="00492C39">
        <w:t>kovo 26</w:t>
      </w:r>
      <w:r w:rsidRPr="00D7569C">
        <w:t xml:space="preserve"> d. Europos Parlamento teisėkūros rezoliucija dėl pasiūlymo dėl Europos Parlamento ir Tarybos direktyvos dėl kovos su korupcija, kuria pakeičiamas Tarybos pamatinis sprendimas 2003/568/TVR ir Konvencija dėl kovos su korupcija, susijusia su Europos Bendrijų pareigūnais ar Europos Sąjungos valstybių narių pareigūnais, ir iš dalies keičiama Europos Parlamento ir Tarybos direktyva (ES) 2017/1371</w:t>
      </w:r>
      <w:bookmarkEnd w:id="5"/>
      <w:r w:rsidRPr="00D7569C">
        <w:t xml:space="preserve"> </w:t>
      </w:r>
      <w:bookmarkStart w:id="6" w:name="References"/>
      <w:r w:rsidRPr="00D7569C">
        <w:t>(COM(2023)0234 – C9-0162/2023 – 2023/0135(COD))</w:t>
      </w:r>
      <w:bookmarkEnd w:id="6"/>
    </w:p>
    <w:p w14:paraId="7F896B5C" w14:textId="77777777" w:rsidR="006F4F93" w:rsidRPr="00D7569C" w:rsidRDefault="006F4F93" w:rsidP="006F4F93">
      <w:pPr>
        <w:pStyle w:val="NormalBold"/>
      </w:pPr>
      <w:r w:rsidRPr="00D7569C">
        <w:t>(Įprasta teisėkūros procedūra: pirmasis svarstymas)</w:t>
      </w:r>
    </w:p>
    <w:p w14:paraId="55E8B390" w14:textId="77777777" w:rsidR="006F4F93" w:rsidRPr="00D7569C" w:rsidRDefault="006F4F93" w:rsidP="006F4F93">
      <w:pPr>
        <w:pStyle w:val="EPComma"/>
      </w:pPr>
      <w:r w:rsidRPr="00D7569C">
        <w:rPr>
          <w:i/>
        </w:rPr>
        <w:t>Europos Parlamentas</w:t>
      </w:r>
      <w:r w:rsidRPr="00D7569C">
        <w:t>,</w:t>
      </w:r>
    </w:p>
    <w:p w14:paraId="5B3D80FD" w14:textId="77777777" w:rsidR="006F4F93" w:rsidRPr="00D7569C" w:rsidRDefault="006F4F93" w:rsidP="006F4F93">
      <w:pPr>
        <w:pStyle w:val="NormalHanging12a"/>
      </w:pPr>
      <w:r w:rsidRPr="00D7569C">
        <w:t>–</w:t>
      </w:r>
      <w:r w:rsidRPr="00D7569C">
        <w:tab/>
        <w:t>atsižvelgdamas į Komisijos pasiūlymą Europos Parlamentui ir Tarybai (COM(2023)0234),</w:t>
      </w:r>
    </w:p>
    <w:p w14:paraId="618A5668" w14:textId="457F1EF9" w:rsidR="006F4F93" w:rsidRPr="00D7569C" w:rsidRDefault="006F4F93" w:rsidP="006F4F93">
      <w:pPr>
        <w:pStyle w:val="NormalHanging12a"/>
      </w:pPr>
      <w:r w:rsidRPr="00D7569C">
        <w:t>–</w:t>
      </w:r>
      <w:r w:rsidRPr="00D7569C">
        <w:tab/>
        <w:t>atsižvelgdamas į Sutarties dėl Europos Sąjungos veikimo 294 straipsnio 2 dalį, 82 straipsnio 1 dalies d punktą ir 83 straipsnio 1 ir 2 dalis, pagal kuriuos Komisija pateikė pasiūlymą Parlamentui (C9-0162/2023),</w:t>
      </w:r>
    </w:p>
    <w:p w14:paraId="1321AE39" w14:textId="77777777" w:rsidR="006F4F93" w:rsidRPr="00D7569C" w:rsidRDefault="006F4F93" w:rsidP="006F4F93">
      <w:pPr>
        <w:pStyle w:val="NormalHanging12a"/>
      </w:pPr>
      <w:r w:rsidRPr="00D7569C">
        <w:t>–</w:t>
      </w:r>
      <w:r w:rsidRPr="00D7569C">
        <w:tab/>
        <w:t>atsižvelgdamas į Sutarties dėl Europos Sąjungos veikimo 294 straipsnio 3 dalį,</w:t>
      </w:r>
    </w:p>
    <w:p w14:paraId="0E257D67" w14:textId="5E3B88A9" w:rsidR="006F4F93" w:rsidRDefault="006F4F93" w:rsidP="006F4F93">
      <w:pPr>
        <w:pStyle w:val="NormalHanging12a"/>
      </w:pPr>
      <w:r w:rsidRPr="00D7569C">
        <w:t>–</w:t>
      </w:r>
      <w:r w:rsidRPr="00D7569C">
        <w:tab/>
        <w:t xml:space="preserve">atsižvelgdamas į Švedijos Karalystės </w:t>
      </w:r>
      <w:proofErr w:type="spellStart"/>
      <w:r w:rsidRPr="00D7569C">
        <w:t>Riksdago</w:t>
      </w:r>
      <w:proofErr w:type="spellEnd"/>
      <w:r w:rsidRPr="00D7569C">
        <w:t xml:space="preserve"> </w:t>
      </w:r>
      <w:r w:rsidRPr="00B30E25">
        <w:t>ir Italijos Respublikos Deputatų Rūmų</w:t>
      </w:r>
      <w:r w:rsidRPr="00D7569C">
        <w:t xml:space="preserve"> pagal Protokolą Nr. 2 dėl subsidiarumo ir proporcingumo principų taikymo pateikt</w:t>
      </w:r>
      <w:r w:rsidR="00F64940">
        <w:t>as</w:t>
      </w:r>
      <w:r w:rsidRPr="00D7569C">
        <w:t xml:space="preserve"> pagrįst</w:t>
      </w:r>
      <w:r w:rsidR="00F64940">
        <w:t>as</w:t>
      </w:r>
      <w:r w:rsidRPr="00D7569C">
        <w:t xml:space="preserve"> nuomon</w:t>
      </w:r>
      <w:r w:rsidR="00F64940">
        <w:t>es</w:t>
      </w:r>
      <w:r w:rsidRPr="00D7569C">
        <w:t>, kurio</w:t>
      </w:r>
      <w:r w:rsidR="00F64940">
        <w:t>s</w:t>
      </w:r>
      <w:r w:rsidRPr="00D7569C">
        <w:t>e tvirtinama, kad teisėkūros procedūra priimamo akto projektas neatitinka subsidiarumo principo,</w:t>
      </w:r>
    </w:p>
    <w:p w14:paraId="53B9E88B" w14:textId="46559CDB" w:rsidR="00492C39" w:rsidRDefault="00492C39" w:rsidP="006F4F93">
      <w:pPr>
        <w:pStyle w:val="NormalHanging12a"/>
      </w:pPr>
      <w:r w:rsidRPr="00D7569C">
        <w:t>–</w:t>
      </w:r>
      <w:r w:rsidRPr="00D7569C">
        <w:tab/>
        <w:t xml:space="preserve">atsižvelgdamas į </w:t>
      </w:r>
      <w:r w:rsidR="00D9052B">
        <w:t xml:space="preserve">2023 m. spalio 25 d. </w:t>
      </w:r>
      <w:r>
        <w:t>Europos ekonomikos ir socialinių reikalų komiteto nuomonę</w:t>
      </w:r>
      <w:r>
        <w:rPr>
          <w:rStyle w:val="FootnoteReference"/>
        </w:rPr>
        <w:footnoteReference w:id="1"/>
      </w:r>
      <w:r>
        <w:t>,</w:t>
      </w:r>
    </w:p>
    <w:p w14:paraId="68923C3E" w14:textId="61BAEF41" w:rsidR="00492C39" w:rsidRPr="00D7569C" w:rsidRDefault="00492C39" w:rsidP="00492C39">
      <w:pPr>
        <w:pStyle w:val="NormalHanging12a"/>
      </w:pPr>
      <w:r w:rsidRPr="00D7569C">
        <w:t>–</w:t>
      </w:r>
      <w:r w:rsidRPr="00D7569C">
        <w:tab/>
        <w:t xml:space="preserve">atsižvelgdamas į </w:t>
      </w:r>
      <w:r w:rsidR="00D9052B">
        <w:t xml:space="preserve">2023 m. lapkričio 29 d. </w:t>
      </w:r>
      <w:r w:rsidR="000126F8">
        <w:t>Regionų</w:t>
      </w:r>
      <w:r>
        <w:t xml:space="preserve"> komiteto nuomonę</w:t>
      </w:r>
      <w:r>
        <w:rPr>
          <w:rStyle w:val="FootnoteReference"/>
        </w:rPr>
        <w:footnoteReference w:id="2"/>
      </w:r>
      <w:r>
        <w:t>,</w:t>
      </w:r>
    </w:p>
    <w:p w14:paraId="3ECDD7AC" w14:textId="34D51EBE" w:rsidR="00492C39" w:rsidRDefault="00492C39" w:rsidP="006F4F93">
      <w:pPr>
        <w:pStyle w:val="NormalHanging12a"/>
      </w:pPr>
      <w:r w:rsidRPr="00492C39">
        <w:t>–</w:t>
      </w:r>
      <w:r w:rsidRPr="00492C39">
        <w:tab/>
        <w:t xml:space="preserve">atsižvelgdamas į preliminarų susitarimą, kurį atsakingas komitetas patvirtino pagal </w:t>
      </w:r>
      <w:r w:rsidRPr="00492C39">
        <w:lastRenderedPageBreak/>
        <w:t xml:space="preserve">Darbo tvarkos taisyklių 75 straipsnio 4 dalį, ir į 2025 m. gruodžio </w:t>
      </w:r>
      <w:r>
        <w:t>10</w:t>
      </w:r>
      <w:r w:rsidRPr="00492C39">
        <w:t xml:space="preserve"> d. laišku Tarybos atstovo prisiimtą įsipareigojimą pritarti Parlamento pozicijai pagal Sutarties dėl Europos Sąjungos veikimo 294 straipsnio 4 dalį,</w:t>
      </w:r>
    </w:p>
    <w:p w14:paraId="4F4890D7" w14:textId="6F091BCA" w:rsidR="006F4F93" w:rsidRPr="00D7569C" w:rsidRDefault="006F4F93" w:rsidP="006F4F93">
      <w:pPr>
        <w:pStyle w:val="NormalHanging12a"/>
      </w:pPr>
      <w:r w:rsidRPr="00D7569C">
        <w:t>–</w:t>
      </w:r>
      <w:r w:rsidRPr="00D7569C">
        <w:tab/>
        <w:t xml:space="preserve">atsižvelgdamas į Darbo tvarkos taisyklių </w:t>
      </w:r>
      <w:r w:rsidR="00492C39">
        <w:t>60</w:t>
      </w:r>
      <w:r w:rsidR="00492C39" w:rsidRPr="00D7569C">
        <w:t xml:space="preserve"> </w:t>
      </w:r>
      <w:r w:rsidRPr="00D7569C">
        <w:t>straipsnį,</w:t>
      </w:r>
    </w:p>
    <w:p w14:paraId="2DE95954" w14:textId="77777777" w:rsidR="006F4F93" w:rsidRPr="00D7569C" w:rsidRDefault="006F4F93" w:rsidP="006F4F93">
      <w:pPr>
        <w:pStyle w:val="NormalHanging12a"/>
      </w:pPr>
      <w:r w:rsidRPr="00D7569C">
        <w:t>–</w:t>
      </w:r>
      <w:r w:rsidRPr="00D7569C">
        <w:tab/>
        <w:t>atsižvelgdamas į Biudžeto kontrolės komiteto nuomonę,</w:t>
      </w:r>
    </w:p>
    <w:p w14:paraId="6C14C175" w14:textId="77777777" w:rsidR="006F4F93" w:rsidRPr="00D7569C" w:rsidRDefault="006F4F93" w:rsidP="006F4F93">
      <w:pPr>
        <w:pStyle w:val="NormalHanging12a"/>
      </w:pPr>
      <w:r w:rsidRPr="00D7569C">
        <w:t>–</w:t>
      </w:r>
      <w:r w:rsidRPr="00D7569C">
        <w:tab/>
        <w:t>atsižvelgdamas į Piliečių laisvių, teisingumo ir vidaus reikalų komiteto pranešimą (A9</w:t>
      </w:r>
      <w:r w:rsidRPr="00D7569C">
        <w:noBreakHyphen/>
        <w:t>0048/2024),</w:t>
      </w:r>
    </w:p>
    <w:p w14:paraId="734E8C74" w14:textId="77777777" w:rsidR="006F4F93" w:rsidRPr="00D7569C" w:rsidRDefault="006F4F93" w:rsidP="006F4F93">
      <w:pPr>
        <w:pStyle w:val="NormalHanging12a"/>
      </w:pPr>
      <w:r w:rsidRPr="00D7569C">
        <w:t>1.</w:t>
      </w:r>
      <w:r w:rsidRPr="00D7569C">
        <w:tab/>
        <w:t xml:space="preserve">priima per pirmąjį svarstymą toliau pateiktą poziciją; </w:t>
      </w:r>
    </w:p>
    <w:p w14:paraId="276F2E29" w14:textId="77777777" w:rsidR="006F4F93" w:rsidRPr="00D7569C" w:rsidRDefault="006F4F93" w:rsidP="006F4F93">
      <w:pPr>
        <w:pStyle w:val="NormalHanging12a"/>
      </w:pPr>
      <w:r w:rsidRPr="00D7569C">
        <w:t>2.</w:t>
      </w:r>
      <w:r w:rsidRPr="00D7569C">
        <w:tab/>
        <w:t>ragina Komisiją dar kartą perduoti klausimą svarstyti Parlamentui, jei ji savo pasiūlymą pakeičia nauju tekstu, jį keičia iš esmės arba ketina jį keisti iš esmės;</w:t>
      </w:r>
    </w:p>
    <w:p w14:paraId="6F4AA3A6" w14:textId="77777777" w:rsidR="006F4F93" w:rsidRPr="00D7569C" w:rsidRDefault="006F4F93" w:rsidP="006F4F93">
      <w:pPr>
        <w:pStyle w:val="NormalHanging12a"/>
      </w:pPr>
      <w:r w:rsidRPr="00D7569C">
        <w:t>3.</w:t>
      </w:r>
      <w:r w:rsidRPr="00D7569C">
        <w:tab/>
        <w:t>paveda Pirmininkei perduoti Parlamento poziciją Tarybai, Komisijai ir nacionaliniams parlamentams.</w:t>
      </w:r>
    </w:p>
    <w:p w14:paraId="1D74FF75" w14:textId="77777777" w:rsidR="006F4F93" w:rsidRPr="00D7569C" w:rsidRDefault="006F4F93" w:rsidP="006F4F93"/>
    <w:p w14:paraId="2D2EA119" w14:textId="77777777" w:rsidR="00492C39" w:rsidRDefault="00492C39" w:rsidP="006F4F93">
      <w:pPr>
        <w:pStyle w:val="AmNumberTabs"/>
        <w:sectPr w:rsidR="00492C39" w:rsidSect="00D7569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EC81275" w14:textId="428FAC9B" w:rsidR="00637D09" w:rsidRPr="00637D09" w:rsidRDefault="00637D09" w:rsidP="00637D09">
      <w:pPr>
        <w:spacing w:after="240"/>
        <w:rPr>
          <w:b/>
          <w:bCs/>
        </w:rPr>
      </w:pPr>
      <w:r w:rsidRPr="00637D09">
        <w:rPr>
          <w:b/>
          <w:bCs/>
        </w:rPr>
        <w:lastRenderedPageBreak/>
        <w:t>P10_TC1-COD(202</w:t>
      </w:r>
      <w:r>
        <w:rPr>
          <w:b/>
          <w:bCs/>
        </w:rPr>
        <w:t>3</w:t>
      </w:r>
      <w:r w:rsidRPr="00637D09">
        <w:rPr>
          <w:b/>
          <w:bCs/>
        </w:rPr>
        <w:t>)0</w:t>
      </w:r>
      <w:r>
        <w:rPr>
          <w:b/>
          <w:bCs/>
        </w:rPr>
        <w:t>135</w:t>
      </w:r>
    </w:p>
    <w:p w14:paraId="569765B5" w14:textId="6B5901B3" w:rsidR="00637D09" w:rsidRPr="00637D09" w:rsidRDefault="00637D09" w:rsidP="00637D09">
      <w:pPr>
        <w:spacing w:after="240"/>
        <w:rPr>
          <w:rFonts w:eastAsia="Calibri"/>
          <w:b/>
          <w:szCs w:val="22"/>
          <w:lang w:eastAsia="en-US"/>
        </w:rPr>
      </w:pPr>
      <w:r w:rsidRPr="00637D09">
        <w:rPr>
          <w:b/>
        </w:rPr>
        <w:t xml:space="preserve">Europos </w:t>
      </w:r>
      <w:r w:rsidRPr="00637D09">
        <w:rPr>
          <w:b/>
          <w:bCs/>
        </w:rPr>
        <w:t>Parlamento</w:t>
      </w:r>
      <w:r w:rsidRPr="00637D09">
        <w:rPr>
          <w:b/>
        </w:rPr>
        <w:t xml:space="preserve"> pozicija, priimta 2026 m. kovo </w:t>
      </w:r>
      <w:r>
        <w:rPr>
          <w:b/>
        </w:rPr>
        <w:t>26</w:t>
      </w:r>
      <w:r w:rsidRPr="00637D09">
        <w:rPr>
          <w:b/>
        </w:rPr>
        <w:t xml:space="preserve"> d. per pirmąjį svarstymą, siekiant priimti Europos Parlamento ir Tarybos direktyvą (ES) 2026/... </w:t>
      </w:r>
      <w:r w:rsidR="00454294" w:rsidRPr="00454294">
        <w:rPr>
          <w:rFonts w:eastAsia="Calibri"/>
          <w:b/>
          <w:szCs w:val="22"/>
          <w:lang w:eastAsia="en-US"/>
        </w:rPr>
        <w:t>dėl kovos su korupcija, kuria pakeičiamas Tarybos pamatinis sprendimas 2003/568/TVR ir Konvencija dėl kovos su korupcija, susijusia su Europos Bendrijų pareigūnais ar Europos Sąjungos valstybių narių pareigūnais, ir iš dalies keičiama Europos Parlamento ir Tarybos direktyva (ES) 2017/1371</w:t>
      </w:r>
    </w:p>
    <w:p w14:paraId="50F94C60" w14:textId="31057C48" w:rsidR="00637D09" w:rsidRPr="00D7569C" w:rsidRDefault="00454294" w:rsidP="00012A66">
      <w:r w:rsidRPr="00454294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Direktyvą</w:t>
      </w:r>
      <w:r w:rsidRPr="00454294">
        <w:rPr>
          <w:i/>
        </w:rPr>
        <w:t xml:space="preserve"> (ES) 20</w:t>
      </w:r>
      <w:r>
        <w:rPr>
          <w:i/>
        </w:rPr>
        <w:t>2</w:t>
      </w:r>
      <w:r w:rsidRPr="00454294">
        <w:rPr>
          <w:i/>
        </w:rPr>
        <w:t>6/1</w:t>
      </w:r>
      <w:r>
        <w:rPr>
          <w:i/>
        </w:rPr>
        <w:t>021</w:t>
      </w:r>
      <w:r w:rsidRPr="00454294">
        <w:rPr>
          <w:i/>
        </w:rPr>
        <w:t>.)</w:t>
      </w:r>
    </w:p>
    <w:sectPr w:rsidR="00637D09" w:rsidRPr="00D7569C" w:rsidSect="00D7569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D6452" w14:textId="77777777" w:rsidR="00012A66" w:rsidRPr="00D7569C" w:rsidRDefault="00012A66">
      <w:r w:rsidRPr="00D7569C">
        <w:separator/>
      </w:r>
    </w:p>
  </w:endnote>
  <w:endnote w:type="continuationSeparator" w:id="0">
    <w:p w14:paraId="6AEBBD32" w14:textId="77777777" w:rsidR="00012A66" w:rsidRPr="00D7569C" w:rsidRDefault="00012A66">
      <w:r w:rsidRPr="00D756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67B9C" w14:textId="77777777" w:rsidR="00064002" w:rsidRPr="00D756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625C4" w14:textId="77777777" w:rsidR="00064002" w:rsidRPr="00D756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96C5" w14:textId="77777777" w:rsidR="00064002" w:rsidRPr="00D756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1D5E4" w14:textId="77777777" w:rsidR="00012A66" w:rsidRPr="00D7569C" w:rsidRDefault="00012A66">
      <w:r w:rsidRPr="00D7569C">
        <w:separator/>
      </w:r>
    </w:p>
  </w:footnote>
  <w:footnote w:type="continuationSeparator" w:id="0">
    <w:p w14:paraId="2AD5F347" w14:textId="77777777" w:rsidR="00012A66" w:rsidRPr="00D7569C" w:rsidRDefault="00012A66">
      <w:r w:rsidRPr="00D7569C">
        <w:continuationSeparator/>
      </w:r>
    </w:p>
  </w:footnote>
  <w:footnote w:id="1">
    <w:p w14:paraId="37839398" w14:textId="65152D13" w:rsidR="00492C39" w:rsidRPr="00B30E25" w:rsidRDefault="00492C39" w:rsidP="00B30E25">
      <w:pPr>
        <w:pStyle w:val="FootnoteText"/>
        <w:ind w:left="567" w:hanging="567"/>
        <w:rPr>
          <w:sz w:val="24"/>
          <w:szCs w:val="24"/>
          <w:lang w:val="lt-LT"/>
        </w:rPr>
      </w:pPr>
      <w:r w:rsidRPr="00B30E25">
        <w:rPr>
          <w:rStyle w:val="FootnoteReference"/>
          <w:sz w:val="24"/>
          <w:szCs w:val="24"/>
        </w:rPr>
        <w:footnoteRef/>
      </w:r>
      <w:r w:rsidRPr="00B30E25">
        <w:rPr>
          <w:sz w:val="24"/>
          <w:szCs w:val="24"/>
          <w:lang w:val="fi-FI"/>
        </w:rPr>
        <w:t xml:space="preserve"> </w:t>
      </w:r>
      <w:r w:rsidRPr="00B30E25">
        <w:rPr>
          <w:sz w:val="24"/>
          <w:szCs w:val="24"/>
          <w:lang w:val="fi-FI"/>
        </w:rPr>
        <w:tab/>
        <w:t xml:space="preserve">OL C, C/2024/886, 2024 2 6, ELI: </w:t>
      </w:r>
      <w:hyperlink r:id="rId1" w:history="1">
        <w:r w:rsidRPr="00B30E25">
          <w:rPr>
            <w:rStyle w:val="Hyperlink"/>
            <w:sz w:val="24"/>
            <w:szCs w:val="24"/>
          </w:rPr>
          <w:t>http://data.europa.eu/eli/C/2024/886/oj</w:t>
        </w:r>
      </w:hyperlink>
      <w:r w:rsidRPr="00B30E25">
        <w:rPr>
          <w:sz w:val="24"/>
          <w:szCs w:val="24"/>
          <w:lang w:val="fi-FI"/>
        </w:rPr>
        <w:t>.</w:t>
      </w:r>
    </w:p>
  </w:footnote>
  <w:footnote w:id="2">
    <w:p w14:paraId="4D1DFC0D" w14:textId="1F7B13BC" w:rsidR="00492C39" w:rsidRPr="00B30E25" w:rsidRDefault="00492C39" w:rsidP="00B30E25">
      <w:pPr>
        <w:pStyle w:val="FootnoteText"/>
        <w:ind w:left="567" w:hanging="567"/>
        <w:rPr>
          <w:sz w:val="24"/>
          <w:szCs w:val="24"/>
          <w:lang w:val="lt-LT"/>
        </w:rPr>
      </w:pPr>
      <w:r w:rsidRPr="00B30E25">
        <w:rPr>
          <w:rStyle w:val="FootnoteReference"/>
          <w:sz w:val="24"/>
          <w:szCs w:val="24"/>
        </w:rPr>
        <w:footnoteRef/>
      </w:r>
      <w:r w:rsidRPr="00B30E25">
        <w:rPr>
          <w:sz w:val="24"/>
          <w:szCs w:val="24"/>
          <w:lang w:val="fi-FI"/>
        </w:rPr>
        <w:t xml:space="preserve"> </w:t>
      </w:r>
      <w:r w:rsidRPr="00B30E25">
        <w:rPr>
          <w:sz w:val="24"/>
          <w:szCs w:val="24"/>
          <w:lang w:val="fi-FI"/>
        </w:rPr>
        <w:tab/>
        <w:t xml:space="preserve">OL C, C/2024/1048, 2024 2 9, ELI: </w:t>
      </w:r>
      <w:hyperlink r:id="rId2" w:history="1">
        <w:r w:rsidRPr="00B30E25">
          <w:rPr>
            <w:rStyle w:val="Hyperlink"/>
            <w:sz w:val="24"/>
            <w:szCs w:val="24"/>
          </w:rPr>
          <w:t>http://data.europa.eu/eli/C/2024/1048/oj</w:t>
        </w:r>
      </w:hyperlink>
      <w:r w:rsidRPr="00B30E25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780AC" w14:textId="77777777" w:rsidR="00064002" w:rsidRPr="00D756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9D27F" w14:textId="77777777" w:rsidR="00064002" w:rsidRPr="00D756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9F027" w14:textId="77777777" w:rsidR="00064002" w:rsidRPr="00D756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12309488">
    <w:abstractNumId w:val="2"/>
  </w:num>
  <w:num w:numId="2" w16cid:durableId="337004151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LT"/>
    <w:docVar w:name="dvnumam" w:val="251"/>
    <w:docVar w:name="dvpe" w:val="753.573"/>
    <w:docVar w:name="dvrapporteur" w:val="Pranešėja: "/>
    <w:docVar w:name="dvstar" w:val="***I"/>
    <w:docVar w:name="dvtitre" w:val="2026 m. ... ... d. Europos Parlamento teisėkūros rezoliucija dėl pasiūlymo dėl Europos Parlamento ir Tarybos direktyvos dėl kovos su korupcija, kuria pakeičiamas Tarybos pamatinis sprendimas 2003/568/TVR ir Konvencija dėl kovos su korupcija, susijusia su Europos Bendrijų pareigūnais ar Europos Sąjungos valstybių narių pareigūnais, ir iš dalies keičiama Europos Parlamento ir Tarybos direktyva (ES) 2017/1371(COM(2023)0234 – C9-0162/2023 – 2023/0135(COD))"/>
  </w:docVars>
  <w:rsids>
    <w:rsidRoot w:val="00012A66"/>
    <w:rsid w:val="00002272"/>
    <w:rsid w:val="000126F8"/>
    <w:rsid w:val="00012A66"/>
    <w:rsid w:val="00064002"/>
    <w:rsid w:val="000677B9"/>
    <w:rsid w:val="000831BA"/>
    <w:rsid w:val="000A42CC"/>
    <w:rsid w:val="000D558C"/>
    <w:rsid w:val="000E7DD9"/>
    <w:rsid w:val="0010095E"/>
    <w:rsid w:val="00104834"/>
    <w:rsid w:val="00125B37"/>
    <w:rsid w:val="00187494"/>
    <w:rsid w:val="001F32AE"/>
    <w:rsid w:val="00240A4B"/>
    <w:rsid w:val="002767FF"/>
    <w:rsid w:val="002B18FE"/>
    <w:rsid w:val="002B5493"/>
    <w:rsid w:val="00343214"/>
    <w:rsid w:val="00357ECC"/>
    <w:rsid w:val="00361C00"/>
    <w:rsid w:val="00377C31"/>
    <w:rsid w:val="00395FA1"/>
    <w:rsid w:val="003E15D4"/>
    <w:rsid w:val="00411CCE"/>
    <w:rsid w:val="0041666E"/>
    <w:rsid w:val="00421060"/>
    <w:rsid w:val="004230E6"/>
    <w:rsid w:val="00454294"/>
    <w:rsid w:val="00471C19"/>
    <w:rsid w:val="004867E3"/>
    <w:rsid w:val="00492C39"/>
    <w:rsid w:val="00494A28"/>
    <w:rsid w:val="004A5C53"/>
    <w:rsid w:val="004C0004"/>
    <w:rsid w:val="004C5D52"/>
    <w:rsid w:val="0050519A"/>
    <w:rsid w:val="005072A1"/>
    <w:rsid w:val="00514517"/>
    <w:rsid w:val="0054021F"/>
    <w:rsid w:val="00545827"/>
    <w:rsid w:val="00560270"/>
    <w:rsid w:val="005B4D0E"/>
    <w:rsid w:val="005C2568"/>
    <w:rsid w:val="005F1B17"/>
    <w:rsid w:val="006037C0"/>
    <w:rsid w:val="00637D09"/>
    <w:rsid w:val="006631B6"/>
    <w:rsid w:val="00680577"/>
    <w:rsid w:val="006F4F93"/>
    <w:rsid w:val="006F74FA"/>
    <w:rsid w:val="00731ADD"/>
    <w:rsid w:val="00734777"/>
    <w:rsid w:val="00747932"/>
    <w:rsid w:val="00751A4A"/>
    <w:rsid w:val="00756632"/>
    <w:rsid w:val="00762C74"/>
    <w:rsid w:val="00763F4C"/>
    <w:rsid w:val="00785A1D"/>
    <w:rsid w:val="00786EC0"/>
    <w:rsid w:val="007D1690"/>
    <w:rsid w:val="007E22AD"/>
    <w:rsid w:val="007F61FE"/>
    <w:rsid w:val="00817416"/>
    <w:rsid w:val="00831A4F"/>
    <w:rsid w:val="00842779"/>
    <w:rsid w:val="00865F67"/>
    <w:rsid w:val="00872D0F"/>
    <w:rsid w:val="00881A7B"/>
    <w:rsid w:val="008840E5"/>
    <w:rsid w:val="00887B3E"/>
    <w:rsid w:val="008C2AC6"/>
    <w:rsid w:val="008F30E8"/>
    <w:rsid w:val="00930C23"/>
    <w:rsid w:val="0093193B"/>
    <w:rsid w:val="009509D8"/>
    <w:rsid w:val="00950B64"/>
    <w:rsid w:val="00981893"/>
    <w:rsid w:val="00A042B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E25"/>
    <w:rsid w:val="00B558F0"/>
    <w:rsid w:val="00B772B4"/>
    <w:rsid w:val="00BD48FE"/>
    <w:rsid w:val="00BD748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6C9"/>
    <w:rsid w:val="00D7569C"/>
    <w:rsid w:val="00D834A0"/>
    <w:rsid w:val="00D872DF"/>
    <w:rsid w:val="00D9052B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94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689CB2"/>
  <w15:chartTrackingRefBased/>
  <w15:docId w15:val="{657ECB25-B373-49B7-B3A8-49D9F728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F4F9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F4F9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F4F9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F4F9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F9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F93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F93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F93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F93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6F4F9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F4F9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F4F9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F4F93"/>
    <w:pPr>
      <w:spacing w:after="120"/>
    </w:pPr>
  </w:style>
  <w:style w:type="paragraph" w:customStyle="1" w:styleId="PageHeading">
    <w:name w:val="PageHeading"/>
    <w:basedOn w:val="Normal"/>
    <w:rsid w:val="006F4F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F4F93"/>
    <w:rPr>
      <w:b/>
    </w:rPr>
  </w:style>
  <w:style w:type="paragraph" w:customStyle="1" w:styleId="NormalBold12a">
    <w:name w:val="NormalBold12a"/>
    <w:basedOn w:val="Normal"/>
    <w:rsid w:val="006F4F93"/>
    <w:pPr>
      <w:spacing w:after="240"/>
    </w:pPr>
    <w:rPr>
      <w:b/>
    </w:rPr>
  </w:style>
  <w:style w:type="paragraph" w:customStyle="1" w:styleId="AmJustText">
    <w:name w:val="AmJustText"/>
    <w:basedOn w:val="Normal"/>
    <w:rsid w:val="006F4F9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F4F9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F4F93"/>
    <w:pPr>
      <w:spacing w:after="480"/>
      <w:ind w:left="1417"/>
    </w:pPr>
  </w:style>
  <w:style w:type="paragraph" w:customStyle="1" w:styleId="CoverNormal">
    <w:name w:val="CoverNormal"/>
    <w:basedOn w:val="Normal"/>
    <w:rsid w:val="006F4F93"/>
    <w:pPr>
      <w:ind w:left="1418"/>
    </w:pPr>
  </w:style>
  <w:style w:type="paragraph" w:customStyle="1" w:styleId="AmCrossRef">
    <w:name w:val="AmCrossRef"/>
    <w:basedOn w:val="Normal"/>
    <w:rsid w:val="006F4F9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F4F9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F4F9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F4F9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F4F9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F4F9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F4F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F93"/>
    <w:rPr>
      <w:sz w:val="24"/>
      <w:lang w:val="lt-LT"/>
    </w:rPr>
  </w:style>
  <w:style w:type="paragraph" w:customStyle="1" w:styleId="AmOrLang">
    <w:name w:val="AmOrLang"/>
    <w:basedOn w:val="Normal"/>
    <w:rsid w:val="006F4F9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4F9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F4F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F4F93"/>
    <w:pPr>
      <w:spacing w:before="240"/>
    </w:pPr>
    <w:rPr>
      <w:b/>
    </w:rPr>
  </w:style>
  <w:style w:type="paragraph" w:customStyle="1" w:styleId="EPBody">
    <w:name w:val="EPBody"/>
    <w:basedOn w:val="Normal"/>
    <w:rsid w:val="006F4F9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F4F9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F4F93"/>
    <w:pPr>
      <w:spacing w:before="480" w:after="240"/>
    </w:pPr>
  </w:style>
  <w:style w:type="paragraph" w:customStyle="1" w:styleId="Lgendesigne">
    <w:name w:val="Légende signe"/>
    <w:basedOn w:val="Normal"/>
    <w:rsid w:val="006F4F9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F4F9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F4F93"/>
    <w:rPr>
      <w:sz w:val="18"/>
    </w:rPr>
  </w:style>
  <w:style w:type="paragraph" w:customStyle="1" w:styleId="msonormal0">
    <w:name w:val="msonormal"/>
    <w:basedOn w:val="Normal"/>
    <w:rsid w:val="006F4F93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6F4F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F93"/>
    <w:rPr>
      <w:sz w:val="24"/>
      <w:lang w:val="lt-LT"/>
    </w:rPr>
  </w:style>
  <w:style w:type="character" w:customStyle="1" w:styleId="Normal12Char">
    <w:name w:val="Normal12 Char"/>
    <w:basedOn w:val="DefaultParagraphFont"/>
    <w:link w:val="Normal12"/>
    <w:locked/>
    <w:rsid w:val="006F4F93"/>
    <w:rPr>
      <w:noProof/>
      <w:sz w:val="24"/>
    </w:rPr>
  </w:style>
  <w:style w:type="paragraph" w:customStyle="1" w:styleId="Normal12">
    <w:name w:val="Normal12"/>
    <w:basedOn w:val="Normal"/>
    <w:link w:val="Normal12Char"/>
    <w:rsid w:val="006F4F9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F4F9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F4F9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F4F9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F4F9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F4F9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F4F93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6F4F9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F4F93"/>
    <w:rPr>
      <w:b/>
      <w:sz w:val="24"/>
      <w:lang w:val="lt-LT"/>
    </w:rPr>
  </w:style>
  <w:style w:type="paragraph" w:customStyle="1" w:styleId="Normal12Italic">
    <w:name w:val="Normal12Italic"/>
    <w:basedOn w:val="Normal12"/>
    <w:rsid w:val="006F4F93"/>
    <w:rPr>
      <w:i/>
    </w:rPr>
  </w:style>
  <w:style w:type="paragraph" w:customStyle="1" w:styleId="JustificationTitle">
    <w:name w:val="JustificationTitle"/>
    <w:basedOn w:val="Normal"/>
    <w:next w:val="Normal12"/>
    <w:rsid w:val="006F4F9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F4F9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F4F9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F4F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F4F93"/>
    <w:pPr>
      <w:spacing w:before="240"/>
      <w:jc w:val="center"/>
    </w:pPr>
    <w:rPr>
      <w:i/>
    </w:rPr>
  </w:style>
  <w:style w:type="character" w:customStyle="1" w:styleId="Footer2Middle">
    <w:name w:val="Footer2Middle"/>
    <w:rsid w:val="006F4F9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F4F93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6F4F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F4F93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6F4F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4F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4F93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F4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F4F93"/>
    <w:rPr>
      <w:b/>
      <w:bCs/>
      <w:lang w:val="lt-LT"/>
    </w:rPr>
  </w:style>
  <w:style w:type="paragraph" w:customStyle="1" w:styleId="Normal1">
    <w:name w:val="Normal1"/>
    <w:basedOn w:val="Normal"/>
    <w:rsid w:val="006F4F93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6F4F93"/>
    <w:rPr>
      <w:sz w:val="24"/>
      <w:lang w:val="lt-LT"/>
    </w:rPr>
  </w:style>
  <w:style w:type="character" w:customStyle="1" w:styleId="AmNumberTabsChar">
    <w:name w:val="AmNumberTabs Char"/>
    <w:basedOn w:val="DefaultParagraphFont"/>
    <w:link w:val="AmNumberTabs"/>
    <w:rsid w:val="006F4F93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6F4F93"/>
    <w:rPr>
      <w:b/>
      <w:sz w:val="24"/>
      <w:lang w:val="lt-LT"/>
    </w:rPr>
  </w:style>
  <w:style w:type="paragraph" w:customStyle="1" w:styleId="Normal24a">
    <w:name w:val="Normal24a"/>
    <w:basedOn w:val="Normal"/>
    <w:rsid w:val="006F4F93"/>
    <w:pPr>
      <w:spacing w:after="480"/>
    </w:pPr>
  </w:style>
  <w:style w:type="paragraph" w:customStyle="1" w:styleId="NormalBoldCenter">
    <w:name w:val="NormalBoldCenter"/>
    <w:basedOn w:val="Normal"/>
    <w:rsid w:val="006F4F93"/>
    <w:pPr>
      <w:jc w:val="center"/>
    </w:pPr>
    <w:rPr>
      <w:b/>
    </w:rPr>
  </w:style>
  <w:style w:type="paragraph" w:customStyle="1" w:styleId="Normal12a">
    <w:name w:val="Normal12a"/>
    <w:basedOn w:val="Normal"/>
    <w:rsid w:val="006F4F93"/>
    <w:pPr>
      <w:spacing w:after="240"/>
    </w:pPr>
  </w:style>
  <w:style w:type="paragraph" w:customStyle="1" w:styleId="PageHeadingNotTOC">
    <w:name w:val="PageHeadingNotTOC"/>
    <w:basedOn w:val="Normal"/>
    <w:rsid w:val="006F4F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F4F9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6F4F9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F4F9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F4F9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F4F93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6F4F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2C39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637D0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37D09"/>
    <w:pPr>
      <w:spacing w:after="240"/>
      <w:jc w:val="center"/>
    </w:pPr>
  </w:style>
  <w:style w:type="paragraph" w:customStyle="1" w:styleId="AmDateTab">
    <w:name w:val="AmDateTab"/>
    <w:basedOn w:val="Normal"/>
    <w:rsid w:val="00637D0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37D0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37D09"/>
  </w:style>
  <w:style w:type="paragraph" w:customStyle="1" w:styleId="NormalCentered">
    <w:name w:val="Normal Centered"/>
    <w:basedOn w:val="Normal"/>
    <w:rsid w:val="00637D0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37D0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37D0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37D0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37D0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37D0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37D0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37D0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37D0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37D0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637D09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37D0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37D0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37D0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37D0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37D0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37D0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37D0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37D0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37D0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37D0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37D0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37D0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37D0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37D0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37D0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37D09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37D09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37D09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37D09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37D09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37D09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37D09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37D09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37D09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37D09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37D09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37D09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37D09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37D09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37D09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37D09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37D09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37D09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37D09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37D0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37D0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37D0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37D0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37D0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37D09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637D09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637D09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637D09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637D09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637D0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37D0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37D0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37D0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637D0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637D0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637D09"/>
    <w:pPr>
      <w:jc w:val="center"/>
    </w:pPr>
  </w:style>
  <w:style w:type="paragraph" w:customStyle="1" w:styleId="Jardin">
    <w:name w:val="Jardin"/>
    <w:basedOn w:val="Normal"/>
    <w:rsid w:val="00637D0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37D0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37D0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37D0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37D09"/>
    <w:rPr>
      <w:b/>
    </w:rPr>
  </w:style>
  <w:style w:type="paragraph" w:customStyle="1" w:styleId="Annex">
    <w:name w:val="Annex"/>
    <w:basedOn w:val="Normal"/>
    <w:next w:val="Normal"/>
    <w:rsid w:val="00637D0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37D0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37D0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37D0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37D0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37D0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37D09"/>
    <w:rPr>
      <w:rFonts w:eastAsia="Calibri"/>
      <w:lang w:val="lt-LT" w:eastAsia="en-US"/>
    </w:rPr>
  </w:style>
  <w:style w:type="character" w:styleId="EndnoteReference">
    <w:name w:val="endnote reference"/>
    <w:basedOn w:val="DefaultParagraphFont"/>
    <w:uiPriority w:val="99"/>
    <w:unhideWhenUsed/>
    <w:rsid w:val="00637D09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637D0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637D0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37D0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37D0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637D09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637D0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637D09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637D0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37D09"/>
    <w:rPr>
      <w:rFonts w:ascii="Arial" w:hAnsi="Arial" w:cs="Arial"/>
      <w:b/>
      <w:sz w:val="23"/>
      <w:u w:color="606060"/>
      <w:lang w:val="lt-LT" w:eastAsia="fr-BE"/>
    </w:rPr>
  </w:style>
  <w:style w:type="paragraph" w:customStyle="1" w:styleId="TBSubjectTable">
    <w:name w:val="TBSubjectTable"/>
    <w:basedOn w:val="TechnicalBlockBase"/>
    <w:rsid w:val="00637D0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637D0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637D0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37D0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lt-LT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37D0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lt-LT" w:eastAsia="fr-BE"/>
    </w:rPr>
  </w:style>
  <w:style w:type="paragraph" w:customStyle="1" w:styleId="HeaderCouncilLarge">
    <w:name w:val="Header Council Large"/>
    <w:basedOn w:val="Normal"/>
    <w:link w:val="HeaderCouncilLargeChar"/>
    <w:rsid w:val="00637D09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637D09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lt-LT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637D09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lt-LT" w:eastAsia="fr-BE"/>
    </w:rPr>
  </w:style>
  <w:style w:type="paragraph" w:customStyle="1" w:styleId="FooterText">
    <w:name w:val="Footer Text"/>
    <w:basedOn w:val="Normal"/>
    <w:rsid w:val="00637D0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37D09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637D09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37D09"/>
    <w:rPr>
      <w:rFonts w:ascii="Cambria" w:hAnsi="Cambria"/>
      <w:spacing w:val="-10"/>
      <w:kern w:val="28"/>
      <w:sz w:val="56"/>
      <w:szCs w:val="56"/>
      <w:lang w:val="lt-LT"/>
    </w:rPr>
  </w:style>
  <w:style w:type="paragraph" w:customStyle="1" w:styleId="Subtitle1">
    <w:name w:val="Subtitle1"/>
    <w:basedOn w:val="Normal"/>
    <w:next w:val="Normal"/>
    <w:uiPriority w:val="11"/>
    <w:qFormat/>
    <w:rsid w:val="00637D09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37D09"/>
    <w:rPr>
      <w:color w:val="595959"/>
      <w:spacing w:val="15"/>
      <w:kern w:val="2"/>
      <w:sz w:val="28"/>
      <w:szCs w:val="28"/>
      <w:lang w:val="lt-LT"/>
    </w:rPr>
  </w:style>
  <w:style w:type="paragraph" w:customStyle="1" w:styleId="Quote1">
    <w:name w:val="Quote1"/>
    <w:basedOn w:val="Normal"/>
    <w:next w:val="Normal"/>
    <w:uiPriority w:val="29"/>
    <w:qFormat/>
    <w:rsid w:val="00637D09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37D09"/>
    <w:rPr>
      <w:i/>
      <w:iCs/>
      <w:color w:val="404040"/>
      <w:kern w:val="2"/>
      <w:lang w:val="lt-LT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637D09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637D09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637D09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D09"/>
    <w:rPr>
      <w:i/>
      <w:iCs/>
      <w:color w:val="365F91"/>
      <w:kern w:val="2"/>
      <w:lang w:val="lt-LT"/>
    </w:rPr>
  </w:style>
  <w:style w:type="character" w:customStyle="1" w:styleId="IntenseReference1">
    <w:name w:val="Intense Reference1"/>
    <w:basedOn w:val="DefaultParagraphFont"/>
    <w:uiPriority w:val="32"/>
    <w:qFormat/>
    <w:rsid w:val="00637D09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637D09"/>
    <w:rPr>
      <w:rFonts w:ascii="Arial" w:hAnsi="Arial" w:cs="Arial"/>
      <w:b/>
      <w:sz w:val="23"/>
      <w:u w:color="606060"/>
      <w:lang w:val="lt-LT" w:eastAsia="fr-BE"/>
    </w:rPr>
  </w:style>
  <w:style w:type="paragraph" w:customStyle="1" w:styleId="TBDistrbMarkers">
    <w:name w:val="TBDistrbMarkers"/>
    <w:basedOn w:val="TBEntRefer"/>
    <w:qFormat/>
    <w:rsid w:val="00637D09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637D09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637D0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637D0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637D0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637D09"/>
    <w:rPr>
      <w:rFonts w:ascii="Times New Roman" w:hAnsi="Times New Roman" w:cs="Times New Roman"/>
      <w:sz w:val="24"/>
      <w:lang w:val="lt-LT"/>
    </w:rPr>
  </w:style>
  <w:style w:type="paragraph" w:customStyle="1" w:styleId="title-bold">
    <w:name w:val="title-bold"/>
    <w:basedOn w:val="Normal"/>
    <w:rsid w:val="00637D09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637D09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637D09"/>
    <w:rPr>
      <w:i/>
      <w:iCs/>
    </w:rPr>
  </w:style>
  <w:style w:type="paragraph" w:styleId="NoSpacing">
    <w:name w:val="No Spacing"/>
    <w:uiPriority w:val="1"/>
    <w:qFormat/>
    <w:rsid w:val="00637D09"/>
    <w:rPr>
      <w:rFonts w:eastAsia="Calibri"/>
      <w:sz w:val="24"/>
      <w:szCs w:val="22"/>
      <w:lang w:val="lt-LT" w:eastAsia="en-US"/>
    </w:rPr>
  </w:style>
  <w:style w:type="paragraph" w:customStyle="1" w:styleId="Manual">
    <w:name w:val="Manual"/>
    <w:basedOn w:val="Normal"/>
    <w:rsid w:val="00637D09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637D0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637D0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637D0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37D0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637D0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37D09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37D09"/>
    <w:pPr>
      <w:widowControl/>
      <w:numPr>
        <w:numId w:val="24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37D0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637D09"/>
    <w:pPr>
      <w:widowControl/>
      <w:numPr>
        <w:numId w:val="25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37D0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37D0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37D0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37D0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37D0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37D0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37D0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37D0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37D0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37D0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37D0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37D0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37D0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37D0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37D0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37D0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37D0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37D0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37D0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37D0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37D0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37D0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637D0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37D0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37D0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37D0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37D0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37D0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637D0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637D0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37D0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37D0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637D0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637D0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637D0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37D09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637D0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637D0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37D0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37D0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637D0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37D09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637D0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637D0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37D0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37D09"/>
    <w:pPr>
      <w:spacing w:after="240"/>
    </w:pPr>
  </w:style>
  <w:style w:type="paragraph" w:customStyle="1" w:styleId="Lignefinal">
    <w:name w:val="Ligne final"/>
    <w:basedOn w:val="Normal"/>
    <w:next w:val="Normal"/>
    <w:rsid w:val="00637D0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37D0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637D0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37D0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37D0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37D0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37D0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37D0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37D0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37D0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37D0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37D0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37D0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37D0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37D0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37D0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37D0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37D0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37D09"/>
    <w:pPr>
      <w:widowControl/>
      <w:numPr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37D09"/>
    <w:pPr>
      <w:widowControl/>
      <w:numPr>
        <w:ilvl w:val="1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37D09"/>
    <w:pPr>
      <w:widowControl/>
      <w:numPr>
        <w:ilvl w:val="2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37D09"/>
    <w:pPr>
      <w:widowControl/>
      <w:numPr>
        <w:ilvl w:val="3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37D09"/>
    <w:pPr>
      <w:widowControl/>
      <w:numPr>
        <w:ilvl w:val="4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37D09"/>
    <w:pPr>
      <w:widowControl/>
      <w:numPr>
        <w:ilvl w:val="5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37D09"/>
    <w:pPr>
      <w:widowControl/>
      <w:numPr>
        <w:ilvl w:val="6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37D0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37D0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637D0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37D09"/>
    <w:pPr>
      <w:widowControl/>
      <w:numPr>
        <w:ilvl w:val="1"/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637D09"/>
    <w:pPr>
      <w:widowControl/>
      <w:numPr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37D0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637D09"/>
    <w:pPr>
      <w:widowControl/>
      <w:numPr>
        <w:ilvl w:val="3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37D09"/>
    <w:pPr>
      <w:widowControl/>
      <w:numPr>
        <w:ilvl w:val="2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37D0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37D09"/>
    <w:pPr>
      <w:widowControl/>
      <w:numPr>
        <w:ilvl w:val="5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37D09"/>
    <w:pPr>
      <w:widowControl/>
      <w:numPr>
        <w:ilvl w:val="4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37D0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37D09"/>
    <w:pPr>
      <w:widowControl/>
      <w:numPr>
        <w:ilvl w:val="7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37D09"/>
    <w:pPr>
      <w:widowControl/>
      <w:numPr>
        <w:ilvl w:val="6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37D0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37D09"/>
    <w:pPr>
      <w:widowControl/>
      <w:numPr>
        <w:ilvl w:val="8"/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37D0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37D0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37D0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37D0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37D0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37D0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37D0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37D0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37D0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37D0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37D0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37D0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37D0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37D0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37D0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637D0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37D0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637D0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637D0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37D0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637D09"/>
    <w:pPr>
      <w:widowControl/>
      <w:numPr>
        <w:numId w:val="28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37D09"/>
    <w:pPr>
      <w:widowControl/>
      <w:numPr>
        <w:numId w:val="29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37D09"/>
    <w:pPr>
      <w:widowControl/>
      <w:numPr>
        <w:numId w:val="30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37D09"/>
    <w:pPr>
      <w:widowControl/>
      <w:numPr>
        <w:numId w:val="31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37D09"/>
    <w:pPr>
      <w:widowControl/>
      <w:numPr>
        <w:numId w:val="32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37D09"/>
    <w:pPr>
      <w:widowControl/>
      <w:numPr>
        <w:numId w:val="33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37D0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37D0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37D0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637D0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37D0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37D0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37D0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37D0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37D0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37D0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637D09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637D0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37D0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37D0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37D0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37D0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37D0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37D0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37D0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37D09"/>
    <w:pPr>
      <w:widowControl/>
      <w:numPr>
        <w:numId w:val="34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37D09"/>
    <w:pPr>
      <w:widowControl/>
      <w:numPr>
        <w:numId w:val="35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37D09"/>
    <w:pPr>
      <w:widowControl/>
      <w:numPr>
        <w:numId w:val="36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37D09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37D09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37D09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37D0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t-LT" w:eastAsia="en-US"/>
    </w:rPr>
  </w:style>
  <w:style w:type="paragraph" w:customStyle="1" w:styleId="CommentFwdQuotedText">
    <w:name w:val="CommentFwdQuotedText"/>
    <w:basedOn w:val="Normal"/>
    <w:rsid w:val="00637D0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37D09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637D09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37D09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37D09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637D09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D09"/>
    <w:pPr>
      <w:numPr>
        <w:ilvl w:val="1"/>
      </w:numPr>
      <w:spacing w:after="160"/>
    </w:pPr>
    <w:rPr>
      <w:color w:val="595959"/>
      <w:spacing w:val="15"/>
      <w:kern w:val="2"/>
      <w:sz w:val="28"/>
      <w:szCs w:val="28"/>
    </w:rPr>
  </w:style>
  <w:style w:type="character" w:customStyle="1" w:styleId="SubtitleChar1">
    <w:name w:val="Subtitle Char1"/>
    <w:basedOn w:val="DefaultParagraphFont"/>
    <w:rsid w:val="00637D0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637D09"/>
    <w:pPr>
      <w:spacing w:before="200" w:after="160"/>
      <w:ind w:left="864" w:right="864"/>
      <w:jc w:val="center"/>
    </w:pPr>
    <w:rPr>
      <w:i/>
      <w:iCs/>
      <w:color w:val="404040"/>
      <w:kern w:val="2"/>
      <w:sz w:val="20"/>
    </w:rPr>
  </w:style>
  <w:style w:type="character" w:customStyle="1" w:styleId="QuoteChar1">
    <w:name w:val="Quote Char1"/>
    <w:basedOn w:val="DefaultParagraphFont"/>
    <w:uiPriority w:val="29"/>
    <w:rsid w:val="00637D09"/>
    <w:rPr>
      <w:i/>
      <w:iCs/>
      <w:color w:val="404040" w:themeColor="text1" w:themeTint="BF"/>
      <w:sz w:val="24"/>
      <w:lang w:val="lt-LT"/>
    </w:rPr>
  </w:style>
  <w:style w:type="paragraph" w:styleId="ListParagraph">
    <w:name w:val="List Paragraph"/>
    <w:basedOn w:val="Normal"/>
    <w:uiPriority w:val="34"/>
    <w:qFormat/>
    <w:rsid w:val="00637D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D0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D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kern w:val="2"/>
      <w:sz w:val="20"/>
    </w:rPr>
  </w:style>
  <w:style w:type="character" w:customStyle="1" w:styleId="IntenseQuoteChar1">
    <w:name w:val="Intense Quote Char1"/>
    <w:basedOn w:val="DefaultParagraphFont"/>
    <w:uiPriority w:val="30"/>
    <w:rsid w:val="00637D09"/>
    <w:rPr>
      <w:i/>
      <w:iCs/>
      <w:color w:val="5B9BD5" w:themeColor="accent1"/>
      <w:sz w:val="24"/>
      <w:lang w:val="lt-LT"/>
    </w:rPr>
  </w:style>
  <w:style w:type="character" w:styleId="IntenseReference">
    <w:name w:val="Intense Reference"/>
    <w:basedOn w:val="DefaultParagraphFont"/>
    <w:uiPriority w:val="32"/>
    <w:qFormat/>
    <w:rsid w:val="00637D09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637D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370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2026-05-12T16:04:00Z</dcterms:created>
  <dcterms:modified xsi:type="dcterms:W3CDTF">2026-05-12T16:04:00Z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