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20C7" w14:paraId="3D2E01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D367BF" w14:textId="77777777" w:rsidR="00751A4A" w:rsidRPr="009920C7" w:rsidRDefault="00E76DDA" w:rsidP="0010095E">
            <w:pPr>
              <w:pStyle w:val="EPName"/>
            </w:pPr>
            <w:r w:rsidRPr="009920C7">
              <w:t>Parlament Ewropew</w:t>
            </w:r>
          </w:p>
          <w:p w14:paraId="763FD743" w14:textId="77777777" w:rsidR="00751A4A" w:rsidRPr="009920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20C7">
              <w:t>2024</w:t>
            </w:r>
            <w:r w:rsidR="00817416" w:rsidRPr="009920C7">
              <w:t>-202</w:t>
            </w:r>
            <w:r w:rsidRPr="009920C7">
              <w:t>9</w:t>
            </w:r>
          </w:p>
        </w:tc>
        <w:tc>
          <w:tcPr>
            <w:tcW w:w="2268" w:type="dxa"/>
            <w:shd w:val="clear" w:color="auto" w:fill="auto"/>
          </w:tcPr>
          <w:p w14:paraId="0A320D1F" w14:textId="77777777" w:rsidR="00751A4A" w:rsidRPr="009920C7" w:rsidRDefault="00187494" w:rsidP="0010095E">
            <w:pPr>
              <w:pStyle w:val="EPLogo"/>
            </w:pPr>
            <w:r w:rsidRPr="009920C7">
              <w:rPr>
                <w:noProof/>
                <w:lang w:eastAsia="ja-JP"/>
              </w:rPr>
              <w:drawing>
                <wp:inline distT="0" distB="0" distL="0" distR="0" wp14:anchorId="69988BA2" wp14:editId="1C31AE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8AD87" w14:textId="77777777" w:rsidR="00D058B8" w:rsidRPr="009920C7" w:rsidRDefault="00D058B8" w:rsidP="004C5D52">
      <w:pPr>
        <w:pStyle w:val="LineTop"/>
      </w:pPr>
    </w:p>
    <w:p w14:paraId="6725D71A" w14:textId="77777777" w:rsidR="00680577" w:rsidRPr="009920C7" w:rsidRDefault="00E76DDA" w:rsidP="00680577">
      <w:pPr>
        <w:pStyle w:val="EPBodyTA1"/>
      </w:pPr>
      <w:r w:rsidRPr="009920C7">
        <w:t>TESTI ADOTTATI</w:t>
      </w:r>
    </w:p>
    <w:p w14:paraId="31B9F017" w14:textId="77777777" w:rsidR="00D058B8" w:rsidRPr="009920C7" w:rsidRDefault="00D058B8" w:rsidP="00D058B8">
      <w:pPr>
        <w:pStyle w:val="LineBottom"/>
      </w:pPr>
    </w:p>
    <w:p w14:paraId="453C6E8F" w14:textId="4D410C35" w:rsidR="00E76DDA" w:rsidRPr="009920C7" w:rsidRDefault="00E76DDA" w:rsidP="00E76DDA">
      <w:pPr>
        <w:pStyle w:val="ATHeading1"/>
      </w:pPr>
      <w:bookmarkStart w:id="0" w:name="TANumber"/>
      <w:r w:rsidRPr="009920C7">
        <w:t>P</w:t>
      </w:r>
      <w:r w:rsidR="001215EB">
        <w:t>10</w:t>
      </w:r>
      <w:r w:rsidRPr="009920C7">
        <w:t>_TA(2026)00</w:t>
      </w:r>
      <w:r w:rsidR="00A91DE8">
        <w:t>9</w:t>
      </w:r>
      <w:r w:rsidR="00E12A81">
        <w:t>4</w:t>
      </w:r>
      <w:bookmarkEnd w:id="0"/>
    </w:p>
    <w:p w14:paraId="3A6A3360" w14:textId="77777777" w:rsidR="00E76DDA" w:rsidRPr="009920C7" w:rsidRDefault="00E76DDA" w:rsidP="00E76DDA">
      <w:pPr>
        <w:pStyle w:val="ATHeading2"/>
      </w:pPr>
      <w:bookmarkStart w:id="1" w:name="title"/>
      <w:r w:rsidRPr="009920C7">
        <w:t>Il-ġlieda kontra l-korruzzjoni</w:t>
      </w:r>
      <w:bookmarkEnd w:id="1"/>
    </w:p>
    <w:p w14:paraId="1741B209" w14:textId="0FE8DBF9" w:rsidR="00E76DDA" w:rsidRPr="009920C7" w:rsidRDefault="00E76DDA" w:rsidP="00E76DDA">
      <w:pPr>
        <w:rPr>
          <w:i/>
          <w:vanish/>
        </w:rPr>
      </w:pPr>
      <w:r w:rsidRPr="009920C7">
        <w:rPr>
          <w:i/>
        </w:rPr>
        <w:fldChar w:fldCharType="begin"/>
      </w:r>
      <w:r w:rsidRPr="009920C7">
        <w:rPr>
          <w:i/>
        </w:rPr>
        <w:instrText xml:space="preserve"> TC"(</w:instrText>
      </w:r>
      <w:bookmarkStart w:id="2" w:name="DocNumber"/>
      <w:r w:rsidRPr="009920C7">
        <w:rPr>
          <w:i/>
        </w:rPr>
        <w:instrText>A9-0048/2024</w:instrText>
      </w:r>
      <w:bookmarkEnd w:id="2"/>
      <w:r w:rsidRPr="009920C7">
        <w:rPr>
          <w:i/>
        </w:rPr>
        <w:instrText xml:space="preserve"> - </w:instrText>
      </w:r>
      <w:proofErr w:type="spellStart"/>
      <w:r w:rsidRPr="009920C7">
        <w:rPr>
          <w:i/>
        </w:rPr>
        <w:instrText>Rapporteur</w:instrText>
      </w:r>
      <w:proofErr w:type="spellEnd"/>
      <w:r w:rsidRPr="009920C7">
        <w:rPr>
          <w:i/>
        </w:rPr>
        <w:instrText xml:space="preserve">: </w:instrText>
      </w:r>
      <w:proofErr w:type="spellStart"/>
      <w:r w:rsidR="0000035F" w:rsidRPr="004F79EF">
        <w:rPr>
          <w:i/>
        </w:rPr>
        <w:instrText>Raquel</w:instrText>
      </w:r>
      <w:proofErr w:type="spellEnd"/>
      <w:r w:rsidR="0000035F" w:rsidRPr="004F79EF">
        <w:rPr>
          <w:i/>
        </w:rPr>
        <w:instrText xml:space="preserve"> </w:instrText>
      </w:r>
      <w:proofErr w:type="spellStart"/>
      <w:r w:rsidR="0000035F" w:rsidRPr="004F79EF">
        <w:rPr>
          <w:i/>
        </w:rPr>
        <w:instrText>García</w:instrText>
      </w:r>
      <w:proofErr w:type="spellEnd"/>
      <w:r w:rsidR="0000035F" w:rsidRPr="004F79EF">
        <w:rPr>
          <w:i/>
        </w:rPr>
        <w:instrText xml:space="preserve"> </w:instrText>
      </w:r>
      <w:proofErr w:type="spellStart"/>
      <w:r w:rsidR="0000035F" w:rsidRPr="004F79EF">
        <w:rPr>
          <w:i/>
        </w:rPr>
        <w:instrText>Hermida</w:instrText>
      </w:r>
      <w:proofErr w:type="spellEnd"/>
      <w:r w:rsidR="0000035F" w:rsidRPr="004F79EF">
        <w:rPr>
          <w:i/>
        </w:rPr>
        <w:instrText xml:space="preserve">-Van </w:instrText>
      </w:r>
      <w:proofErr w:type="spellStart"/>
      <w:r w:rsidR="0000035F" w:rsidRPr="004F79EF">
        <w:rPr>
          <w:i/>
        </w:rPr>
        <w:instrText>Der</w:instrText>
      </w:r>
      <w:proofErr w:type="spellEnd"/>
      <w:r w:rsidR="0000035F" w:rsidRPr="004F79EF">
        <w:rPr>
          <w:i/>
        </w:rPr>
        <w:instrText xml:space="preserve"> </w:instrText>
      </w:r>
      <w:proofErr w:type="spellStart"/>
      <w:r w:rsidR="0000035F" w:rsidRPr="004F79EF">
        <w:rPr>
          <w:i/>
        </w:rPr>
        <w:instrText>Walle</w:instrText>
      </w:r>
      <w:proofErr w:type="spellEnd"/>
      <w:r w:rsidRPr="009920C7">
        <w:rPr>
          <w:i/>
        </w:rPr>
        <w:instrText xml:space="preserve">)"\l3 \n&gt; \* MERGEFORMAT </w:instrText>
      </w:r>
      <w:r w:rsidRPr="009920C7">
        <w:rPr>
          <w:i/>
        </w:rPr>
        <w:fldChar w:fldCharType="end"/>
      </w:r>
    </w:p>
    <w:p w14:paraId="4E57B3AC" w14:textId="77777777" w:rsidR="00E76DDA" w:rsidRPr="009920C7" w:rsidRDefault="00E76DDA" w:rsidP="00E76DDA">
      <w:pPr>
        <w:rPr>
          <w:vanish/>
        </w:rPr>
      </w:pPr>
      <w:bookmarkStart w:id="3" w:name="Commission"/>
      <w:r w:rsidRPr="009920C7">
        <w:rPr>
          <w:vanish/>
        </w:rPr>
        <w:t>Kumitat għal-Libertajiet Ċivili, il-Ġustizzja u l-Intern</w:t>
      </w:r>
      <w:bookmarkEnd w:id="3"/>
    </w:p>
    <w:p w14:paraId="1594B45D" w14:textId="77777777" w:rsidR="00E76DDA" w:rsidRPr="009920C7" w:rsidRDefault="00E76DDA" w:rsidP="00E76DDA">
      <w:pPr>
        <w:rPr>
          <w:vanish/>
        </w:rPr>
      </w:pPr>
      <w:bookmarkStart w:id="4" w:name="PE"/>
      <w:r w:rsidRPr="009920C7">
        <w:rPr>
          <w:vanish/>
        </w:rPr>
        <w:t>PE753.573</w:t>
      </w:r>
      <w:bookmarkEnd w:id="4"/>
    </w:p>
    <w:p w14:paraId="04D81653" w14:textId="2FB8FE08" w:rsidR="00E76DDA" w:rsidRPr="009920C7" w:rsidRDefault="00E76DDA" w:rsidP="00E76DDA">
      <w:pPr>
        <w:pStyle w:val="ATHeading3"/>
      </w:pPr>
      <w:bookmarkStart w:id="5" w:name="Sujet"/>
      <w:r w:rsidRPr="009920C7">
        <w:t xml:space="preserve">Riżoluzzjoni </w:t>
      </w:r>
      <w:proofErr w:type="spellStart"/>
      <w:r w:rsidRPr="009920C7">
        <w:t>leġiżlattiva</w:t>
      </w:r>
      <w:proofErr w:type="spellEnd"/>
      <w:r w:rsidRPr="009920C7">
        <w:t xml:space="preserve"> tal-Parlament Ewropew </w:t>
      </w:r>
      <w:r w:rsidR="005F09CE">
        <w:t>tas-26 ta’ Marzu</w:t>
      </w:r>
      <w:r w:rsidRPr="009920C7">
        <w:t xml:space="preserve"> 2026 dwar il-proposta għal direttiva tal-Parlament Ewropew u tal-Kunsill dwar il-ġlieda kontra l-korruzzjoni, </w:t>
      </w:r>
      <w:r w:rsidR="00516422">
        <w:t>li tissostitwixxi</w:t>
      </w:r>
      <w:r w:rsidRPr="009920C7">
        <w:t xml:space="preserve"> d-Deċiżjoni Kwadru tal-Kunsill 2003/568/</w:t>
      </w:r>
      <w:r w:rsidR="00516422">
        <w:t>ĠAI</w:t>
      </w:r>
      <w:r w:rsidRPr="009920C7">
        <w:t xml:space="preserve"> u l-Konvenzjoni dwar il-ġlieda kontra l-korruzzjoni li tinvolvi uffiċjali tal-Komunitajiet Ewropej jew uffiċjali tal-Istati Membri tal-Unjoni Ewropea u </w:t>
      </w:r>
      <w:r w:rsidR="00516422">
        <w:t>li t</w:t>
      </w:r>
      <w:r w:rsidRPr="009920C7">
        <w:t>emenda d-Direttiva (UE) 2017/1371 tal-Parlament Ewropew u tal-Kunsill</w:t>
      </w:r>
      <w:bookmarkEnd w:id="5"/>
      <w:r w:rsidRPr="009920C7">
        <w:t xml:space="preserve"> </w:t>
      </w:r>
      <w:bookmarkStart w:id="6" w:name="References"/>
      <w:r w:rsidRPr="009920C7">
        <w:t>(COM(2023)0234 – C9-0162/2023 – 2023/0135(COD))</w:t>
      </w:r>
      <w:bookmarkEnd w:id="6"/>
    </w:p>
    <w:p w14:paraId="68176CF0" w14:textId="77777777" w:rsidR="00CB43DE" w:rsidRPr="009920C7" w:rsidRDefault="00CB43DE" w:rsidP="00CB43DE">
      <w:pPr>
        <w:pStyle w:val="NormalBold"/>
      </w:pPr>
      <w:r w:rsidRPr="009920C7">
        <w:t xml:space="preserve">(Proċedura </w:t>
      </w:r>
      <w:proofErr w:type="spellStart"/>
      <w:r w:rsidRPr="009920C7">
        <w:t>leġiżlattiva</w:t>
      </w:r>
      <w:proofErr w:type="spellEnd"/>
      <w:r w:rsidRPr="009920C7">
        <w:t xml:space="preserve"> ordinarja: l-ewwel qari)</w:t>
      </w:r>
    </w:p>
    <w:p w14:paraId="65BB2C1F" w14:textId="6F2E0C92" w:rsidR="00CB43DE" w:rsidRPr="009920C7" w:rsidRDefault="00CB43DE" w:rsidP="00CB43DE">
      <w:pPr>
        <w:pStyle w:val="EPComma"/>
      </w:pPr>
      <w:r w:rsidRPr="009920C7">
        <w:rPr>
          <w:i/>
        </w:rPr>
        <w:t>Il-Parlament Ewropew</w:t>
      </w:r>
      <w:r w:rsidRPr="009920C7">
        <w:t>,</w:t>
      </w:r>
    </w:p>
    <w:p w14:paraId="5898818B" w14:textId="77777777" w:rsidR="00CB43DE" w:rsidRPr="009920C7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l-proposta tal-Kummissjoni lill-Parlament Ewropew u lill-Kunsill (COM(2023)0234),</w:t>
      </w:r>
    </w:p>
    <w:p w14:paraId="6DAE9AFE" w14:textId="4CF093BF" w:rsidR="00CB43DE" w:rsidRPr="009920C7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l-Artikolu 294(2) u l-Artikol</w:t>
      </w:r>
      <w:r w:rsidR="00FA5960">
        <w:t>u</w:t>
      </w:r>
      <w:r w:rsidRPr="009920C7">
        <w:t xml:space="preserve"> 82(1)</w:t>
      </w:r>
      <w:r w:rsidR="00516422">
        <w:t xml:space="preserve">, il-punt </w:t>
      </w:r>
      <w:r w:rsidRPr="009920C7">
        <w:t>(d)</w:t>
      </w:r>
      <w:r w:rsidR="00516422">
        <w:t>,</w:t>
      </w:r>
      <w:r w:rsidRPr="009920C7">
        <w:t xml:space="preserve"> u </w:t>
      </w:r>
      <w:r w:rsidR="00FA5960">
        <w:t xml:space="preserve">l-Artikolu </w:t>
      </w:r>
      <w:r w:rsidRPr="009920C7">
        <w:t>83(1) u (2)</w:t>
      </w:r>
      <w:r w:rsidR="00FA5960">
        <w:t>,</w:t>
      </w:r>
      <w:r w:rsidRPr="009920C7">
        <w:t xml:space="preserve"> tat-Trattat dwar il-Funzjonament tal-Unjoni Ewropea, skont liema artikoli l-Kummissjoni ppreżentat il-proposta lill-Parlament (C9-0162/2023),</w:t>
      </w:r>
    </w:p>
    <w:p w14:paraId="5E7CF8E2" w14:textId="77777777" w:rsidR="00CB43DE" w:rsidRPr="009920C7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l-Artikolu 294(3) tat-Trattat dwar il-Funzjonament tal-Unjoni Ewropea,</w:t>
      </w:r>
    </w:p>
    <w:p w14:paraId="7B64E49E" w14:textId="77777777" w:rsidR="00CB43DE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l-opinjonijiet motivati ppreżentati mill-Parlament Żvediż </w:t>
      </w:r>
      <w:r w:rsidRPr="004F79EF">
        <w:rPr>
          <w:bCs/>
          <w:iCs/>
        </w:rPr>
        <w:t>u l-Kamra tad-Deputati Taljana</w:t>
      </w:r>
      <w:r w:rsidRPr="009920C7">
        <w:t xml:space="preserve">, fil-qafas tal-Protokoll Nru 2 dwar l-applikazzjoni tal-prinċipji ta’ </w:t>
      </w:r>
      <w:proofErr w:type="spellStart"/>
      <w:r w:rsidRPr="009920C7">
        <w:t>sussidjarjetà</w:t>
      </w:r>
      <w:proofErr w:type="spellEnd"/>
      <w:r w:rsidRPr="009920C7">
        <w:t xml:space="preserve"> u </w:t>
      </w:r>
      <w:proofErr w:type="spellStart"/>
      <w:r w:rsidRPr="009920C7">
        <w:t>proporzjonalità</w:t>
      </w:r>
      <w:proofErr w:type="spellEnd"/>
      <w:r w:rsidRPr="009920C7">
        <w:t xml:space="preserve"> li jiddikjaraw li l-abbozz ta’ att </w:t>
      </w:r>
      <w:proofErr w:type="spellStart"/>
      <w:r w:rsidRPr="009920C7">
        <w:t>leġiżlattiv</w:t>
      </w:r>
      <w:proofErr w:type="spellEnd"/>
      <w:r w:rsidRPr="009920C7">
        <w:t xml:space="preserve"> ma jimxix mal-prinċipju ta’ </w:t>
      </w:r>
      <w:proofErr w:type="spellStart"/>
      <w:r w:rsidRPr="009920C7">
        <w:t>sussidjarjetà</w:t>
      </w:r>
      <w:proofErr w:type="spellEnd"/>
      <w:r w:rsidRPr="009920C7">
        <w:t>,</w:t>
      </w:r>
    </w:p>
    <w:p w14:paraId="089E5978" w14:textId="5FA81975" w:rsidR="0000035F" w:rsidRDefault="0000035F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</w:t>
      </w:r>
      <w:r>
        <w:t>l-opinjoni tal-</w:t>
      </w:r>
      <w:r w:rsidRPr="0000035F">
        <w:t>Kumitat Ekonomiku u Soċjali Ewropew</w:t>
      </w:r>
      <w:r w:rsidR="0099673A">
        <w:t xml:space="preserve"> tal-25 ta’ Ottubru 2023</w:t>
      </w:r>
      <w:r>
        <w:rPr>
          <w:rStyle w:val="FootnoteReference"/>
        </w:rPr>
        <w:footnoteReference w:id="1"/>
      </w:r>
      <w:r>
        <w:t>,</w:t>
      </w:r>
    </w:p>
    <w:p w14:paraId="095B787A" w14:textId="772CE5CA" w:rsidR="0000035F" w:rsidRDefault="0000035F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</w:t>
      </w:r>
      <w:r>
        <w:t>l-opinjoni tal-Kumitat tar-Reġjuni</w:t>
      </w:r>
      <w:r w:rsidR="0099673A">
        <w:t xml:space="preserve"> tad-29 ta’ Novembru 2023</w:t>
      </w:r>
      <w:r>
        <w:rPr>
          <w:rStyle w:val="FootnoteReference"/>
        </w:rPr>
        <w:footnoteReference w:id="2"/>
      </w:r>
      <w:r>
        <w:t>,</w:t>
      </w:r>
    </w:p>
    <w:p w14:paraId="2DEF0B7B" w14:textId="4E571E45" w:rsidR="0000035F" w:rsidRPr="009920C7" w:rsidRDefault="0000035F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</w:t>
      </w:r>
      <w:r w:rsidRPr="0000035F">
        <w:t>l-ftehim proviżorju approvat mill-kumitat responsabbli fis-sens tal-</w:t>
      </w:r>
      <w:r w:rsidRPr="0000035F">
        <w:lastRenderedPageBreak/>
        <w:t>Artikolu 75(4) tar-Regoli ta' Proċedura tiegħu u l-impenn meħud mir-rappreżentant tal-Kunsill, permezz tal-ittra tal-1</w:t>
      </w:r>
      <w:r>
        <w:t>0</w:t>
      </w:r>
      <w:r w:rsidRPr="0000035F">
        <w:t xml:space="preserve"> ta' </w:t>
      </w:r>
      <w:r>
        <w:t>Diċembru 2025</w:t>
      </w:r>
      <w:r w:rsidRPr="0000035F">
        <w:t>, li japprova l-pożizzjoni tal-Parlament, skont l-Artikolu 294(4) tat-Trattat dwar il-Funzjonament tal-Unjoni Ewropea,</w:t>
      </w:r>
    </w:p>
    <w:p w14:paraId="68A37E87" w14:textId="70CF7E5C" w:rsidR="00CB43DE" w:rsidRPr="009920C7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l-Artikolu </w:t>
      </w:r>
      <w:r w:rsidR="0000035F">
        <w:t>60</w:t>
      </w:r>
      <w:r w:rsidRPr="009920C7">
        <w:t xml:space="preserve"> tar-Regoli ta’ Proċedura tiegħu,</w:t>
      </w:r>
    </w:p>
    <w:p w14:paraId="6339E811" w14:textId="77777777" w:rsidR="00CB43DE" w:rsidRPr="009920C7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l-opinjoni tal-Kumitat għall-Kontroll tal-Baġit,</w:t>
      </w:r>
    </w:p>
    <w:p w14:paraId="3F88CB03" w14:textId="77777777" w:rsidR="00CB43DE" w:rsidRPr="009920C7" w:rsidRDefault="00CB43DE" w:rsidP="00CB43DE">
      <w:pPr>
        <w:pStyle w:val="NormalHanging12a"/>
      </w:pPr>
      <w:r w:rsidRPr="009920C7">
        <w:t>–</w:t>
      </w:r>
      <w:r w:rsidRPr="009920C7">
        <w:tab/>
        <w:t xml:space="preserve">wara li </w:t>
      </w:r>
      <w:proofErr w:type="spellStart"/>
      <w:r w:rsidRPr="009920C7">
        <w:t>kkunsidra</w:t>
      </w:r>
      <w:proofErr w:type="spellEnd"/>
      <w:r w:rsidRPr="009920C7">
        <w:t xml:space="preserve"> r-rapport tal-Kumitat għal-Libertajiet Ċivili, il-Ġustizzja u l-Intern (A9-0048/2024),</w:t>
      </w:r>
    </w:p>
    <w:p w14:paraId="7DE10F13" w14:textId="77777777" w:rsidR="00CB43DE" w:rsidRPr="009920C7" w:rsidRDefault="00CB43DE" w:rsidP="00CB43DE">
      <w:pPr>
        <w:pStyle w:val="NormalHanging12a"/>
      </w:pPr>
      <w:r w:rsidRPr="009920C7">
        <w:t>1.</w:t>
      </w:r>
      <w:r w:rsidRPr="009920C7">
        <w:tab/>
        <w:t xml:space="preserve">Jadotta l-pożizzjoni fl-ewwel qari li tidher hawn taħt; </w:t>
      </w:r>
    </w:p>
    <w:p w14:paraId="3E0C35B4" w14:textId="77777777" w:rsidR="00CB43DE" w:rsidRPr="009920C7" w:rsidRDefault="00CB43DE" w:rsidP="00CB43DE">
      <w:pPr>
        <w:pStyle w:val="NormalHanging12a"/>
      </w:pPr>
      <w:r w:rsidRPr="009920C7">
        <w:t>2.</w:t>
      </w:r>
      <w:r w:rsidRPr="009920C7">
        <w:tab/>
        <w:t xml:space="preserve">Jitlob lill-Kummissjoni </w:t>
      </w:r>
      <w:proofErr w:type="spellStart"/>
      <w:r w:rsidRPr="009920C7">
        <w:t>terġa</w:t>
      </w:r>
      <w:proofErr w:type="spellEnd"/>
      <w:r w:rsidRPr="009920C7">
        <w:t xml:space="preserve">’ tirreferi l-kwistjoni lill-Parlament jekk tibdel il-proposta tagħha, </w:t>
      </w:r>
      <w:proofErr w:type="spellStart"/>
      <w:r w:rsidRPr="009920C7">
        <w:t>temendaha</w:t>
      </w:r>
      <w:proofErr w:type="spellEnd"/>
      <w:r w:rsidRPr="009920C7">
        <w:t xml:space="preserve"> b’mod sustanzjali jew ikollha l-ħsieb li </w:t>
      </w:r>
      <w:proofErr w:type="spellStart"/>
      <w:r w:rsidRPr="009920C7">
        <w:t>temendaha</w:t>
      </w:r>
      <w:proofErr w:type="spellEnd"/>
      <w:r w:rsidRPr="009920C7">
        <w:t xml:space="preserve"> b’mod sustanzjali;</w:t>
      </w:r>
    </w:p>
    <w:p w14:paraId="75750025" w14:textId="77777777" w:rsidR="00CB43DE" w:rsidRPr="009920C7" w:rsidRDefault="00CB43DE" w:rsidP="00CB43DE">
      <w:pPr>
        <w:pStyle w:val="NormalHanging12a"/>
      </w:pPr>
      <w:r w:rsidRPr="009920C7">
        <w:t>3.</w:t>
      </w:r>
      <w:r w:rsidRPr="009920C7">
        <w:tab/>
        <w:t>Jagħti istruzzjonijiet lill-President tiegħu biex tgħaddi l-pożizzjoni tal-Parlament lill-Kunsill u lill-Kummissjoni kif ukoll lill-parlamenti nazzjonali.</w:t>
      </w:r>
    </w:p>
    <w:p w14:paraId="24938FC4" w14:textId="632F95EB" w:rsidR="005E4150" w:rsidRDefault="005E4150">
      <w:pPr>
        <w:widowControl/>
        <w:rPr>
          <w:b/>
        </w:rPr>
      </w:pPr>
    </w:p>
    <w:p w14:paraId="69CC5C4F" w14:textId="77777777" w:rsidR="0000035F" w:rsidRDefault="0000035F" w:rsidP="00CB43DE">
      <w:pPr>
        <w:pStyle w:val="AmNumberTabs"/>
        <w:sectPr w:rsidR="0000035F" w:rsidSect="009920C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EE4274" w14:textId="4773CD4E" w:rsidR="0099673A" w:rsidRDefault="0099673A" w:rsidP="0099673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D5C0C">
        <w:rPr>
          <w:rFonts w:eastAsia="Calibri"/>
          <w:b/>
          <w:bCs/>
          <w:color w:val="000000"/>
          <w:szCs w:val="24"/>
        </w:rPr>
        <w:lastRenderedPageBreak/>
        <w:t>P10_TC1-COD(2023)0135</w:t>
      </w:r>
    </w:p>
    <w:p w14:paraId="50542965" w14:textId="1824F984" w:rsidR="0099673A" w:rsidRDefault="0099673A" w:rsidP="0099673A">
      <w:pPr>
        <w:rPr>
          <w:rFonts w:eastAsia="Calibri"/>
          <w:b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99673A">
        <w:rPr>
          <w:rFonts w:eastAsia="Calibri"/>
          <w:b/>
          <w:bCs/>
        </w:rPr>
        <w:t>qari tas-26</w:t>
      </w:r>
      <w:r w:rsidRPr="0099673A">
        <w:rPr>
          <w:b/>
        </w:rPr>
        <w:t xml:space="preserve"> </w:t>
      </w:r>
      <w:r w:rsidRPr="0099673A">
        <w:rPr>
          <w:rFonts w:eastAsia="Calibri"/>
          <w:b/>
          <w:bCs/>
        </w:rPr>
        <w:t>ta' Marzu 2026</w:t>
      </w:r>
      <w:r w:rsidRPr="00CE3598">
        <w:rPr>
          <w:rFonts w:eastAsia="Calibri"/>
          <w:b/>
          <w:bCs/>
        </w:rPr>
        <w:t xml:space="preserve"> bil-ħsieb tal-</w:t>
      </w:r>
      <w:r w:rsidRPr="0099673A">
        <w:rPr>
          <w:rFonts w:eastAsia="Calibri"/>
          <w:b/>
          <w:bCs/>
        </w:rPr>
        <w:t>adozzjoni tad-Direttiva (UE) 2026</w:t>
      </w:r>
      <w:r w:rsidRPr="00CE3598">
        <w:rPr>
          <w:rFonts w:eastAsia="Calibri"/>
          <w:b/>
          <w:bCs/>
        </w:rPr>
        <w:t xml:space="preserve">/...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99673A">
        <w:rPr>
          <w:rFonts w:eastAsia="Calibri"/>
          <w:b/>
          <w:szCs w:val="22"/>
          <w:lang w:eastAsia="en-US"/>
        </w:rPr>
        <w:t>dwar il-ġlieda kontra l-korruzzjoni, li tissostitwixxi d-Deċiżjoni Kwadru tal-Kunsill 2003/568/ĠAI u l-Konvenzjoni dwar il-ġlieda kontra l-korruzzjoni li tinvolvi uffiċjali tal-Komunitajiet Ewropej jew uffiċjali tal-Istati Membri tal-Unjoni Ewropea u li temenda d-Direttiva (UE) 2017/1371 tal-Parlament Ewropew u tal-Kunsill</w:t>
      </w:r>
    </w:p>
    <w:p w14:paraId="1A0F4A51" w14:textId="0064CA8B" w:rsidR="00B1387D" w:rsidRPr="00B1387D" w:rsidRDefault="00B1387D" w:rsidP="00B1387D">
      <w:pPr>
        <w:spacing w:before="240" w:after="120"/>
        <w:rPr>
          <w:rFonts w:eastAsia="Calibri"/>
          <w:bCs/>
          <w:i/>
          <w:iCs/>
          <w:szCs w:val="22"/>
          <w:lang w:eastAsia="en-US"/>
        </w:rPr>
      </w:pPr>
      <w:r w:rsidRPr="00B1387D">
        <w:rPr>
          <w:rFonts w:eastAsia="Calibri"/>
          <w:bCs/>
          <w:i/>
          <w:iCs/>
          <w:szCs w:val="22"/>
          <w:lang w:eastAsia="en-US"/>
        </w:rPr>
        <w:t>(Peress li ntlaħaq ftehim bejn il-Parlament u l-Kunsill, il-pożizzjoni tal-Parlament taqbel mal-att leġislattiv finali, d-Direttiva (UE) 2026/102</w:t>
      </w:r>
      <w:r>
        <w:rPr>
          <w:rFonts w:eastAsia="Calibri"/>
          <w:bCs/>
          <w:i/>
          <w:iCs/>
          <w:szCs w:val="22"/>
          <w:lang w:eastAsia="en-US"/>
        </w:rPr>
        <w:t>1</w:t>
      </w:r>
      <w:r w:rsidRPr="00B1387D">
        <w:rPr>
          <w:rFonts w:eastAsia="Calibri"/>
          <w:bCs/>
          <w:i/>
          <w:iCs/>
          <w:szCs w:val="22"/>
          <w:lang w:eastAsia="en-US"/>
        </w:rPr>
        <w:t>.)</w:t>
      </w:r>
    </w:p>
    <w:sectPr w:rsidR="00B1387D" w:rsidRPr="00B1387D" w:rsidSect="0099673A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0FBB" w14:textId="77777777" w:rsidR="00E76DDA" w:rsidRPr="009920C7" w:rsidRDefault="00E76DDA">
      <w:r w:rsidRPr="009920C7">
        <w:separator/>
      </w:r>
    </w:p>
  </w:endnote>
  <w:endnote w:type="continuationSeparator" w:id="0">
    <w:p w14:paraId="34D3DDE7" w14:textId="77777777" w:rsidR="00E76DDA" w:rsidRPr="009920C7" w:rsidRDefault="00E76DDA">
      <w:r w:rsidRPr="009920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58C5" w14:textId="05ACC2F7" w:rsidR="00FA5960" w:rsidRPr="0099673A" w:rsidRDefault="00FA5960" w:rsidP="0099673A">
    <w:pPr>
      <w:pStyle w:val="QuotedNumPa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F29C3" w14:textId="77777777" w:rsidR="00E76DDA" w:rsidRPr="009920C7" w:rsidRDefault="00E76DDA">
      <w:r w:rsidRPr="009920C7">
        <w:separator/>
      </w:r>
    </w:p>
  </w:footnote>
  <w:footnote w:type="continuationSeparator" w:id="0">
    <w:p w14:paraId="3DA1D5BD" w14:textId="77777777" w:rsidR="00E76DDA" w:rsidRPr="009920C7" w:rsidRDefault="00E76DDA">
      <w:r w:rsidRPr="009920C7">
        <w:continuationSeparator/>
      </w:r>
    </w:p>
  </w:footnote>
  <w:footnote w:id="1">
    <w:p w14:paraId="3248D57A" w14:textId="24CC37A4" w:rsidR="0000035F" w:rsidRPr="004F79EF" w:rsidRDefault="0000035F">
      <w:pPr>
        <w:pStyle w:val="FootnoteText"/>
        <w:rPr>
          <w:sz w:val="24"/>
          <w:szCs w:val="24"/>
          <w:lang w:val="mt-MT"/>
        </w:rPr>
      </w:pPr>
      <w:r w:rsidRPr="004F79EF">
        <w:rPr>
          <w:rStyle w:val="FootnoteReference"/>
          <w:sz w:val="24"/>
          <w:szCs w:val="24"/>
        </w:rPr>
        <w:footnoteRef/>
      </w:r>
      <w:r w:rsidRPr="004F79EF">
        <w:rPr>
          <w:sz w:val="24"/>
          <w:szCs w:val="24"/>
          <w:lang w:val="fi-FI"/>
        </w:rPr>
        <w:t xml:space="preserve"> </w:t>
      </w:r>
      <w:r w:rsidRPr="004F79EF">
        <w:rPr>
          <w:sz w:val="24"/>
          <w:szCs w:val="24"/>
          <w:lang w:val="mt-MT"/>
        </w:rPr>
        <w:tab/>
      </w:r>
      <w:r w:rsidR="00516422">
        <w:rPr>
          <w:sz w:val="24"/>
          <w:szCs w:val="24"/>
          <w:lang w:val="mt-MT"/>
        </w:rPr>
        <w:t>ĠU</w:t>
      </w:r>
      <w:r w:rsidRPr="004F79EF">
        <w:rPr>
          <w:sz w:val="24"/>
          <w:szCs w:val="24"/>
          <w:lang w:val="mt-MT"/>
        </w:rPr>
        <w:t xml:space="preserve"> C, C/2024/886, 6.2.2024, ELI: </w:t>
      </w:r>
      <w:hyperlink r:id="rId1" w:history="1">
        <w:r w:rsidRPr="004F79EF">
          <w:rPr>
            <w:rStyle w:val="Hyperlink"/>
            <w:sz w:val="24"/>
            <w:szCs w:val="24"/>
            <w:lang w:val="mt-MT"/>
          </w:rPr>
          <w:t>http://data.europa.eu/eli/C/2024/886/oj</w:t>
        </w:r>
      </w:hyperlink>
      <w:r w:rsidRPr="004F79EF">
        <w:rPr>
          <w:sz w:val="24"/>
          <w:szCs w:val="24"/>
          <w:lang w:val="mt-MT"/>
        </w:rPr>
        <w:t>.</w:t>
      </w:r>
    </w:p>
  </w:footnote>
  <w:footnote w:id="2">
    <w:p w14:paraId="4AF9A566" w14:textId="497F5EC0" w:rsidR="0000035F" w:rsidRPr="004F79EF" w:rsidRDefault="0000035F">
      <w:pPr>
        <w:pStyle w:val="FootnoteText"/>
        <w:rPr>
          <w:sz w:val="24"/>
          <w:szCs w:val="24"/>
          <w:lang w:val="mt-MT"/>
        </w:rPr>
      </w:pPr>
      <w:r w:rsidRPr="004F79EF">
        <w:rPr>
          <w:rStyle w:val="FootnoteReference"/>
          <w:sz w:val="24"/>
          <w:szCs w:val="24"/>
        </w:rPr>
        <w:footnoteRef/>
      </w:r>
      <w:r w:rsidRPr="004F79EF">
        <w:rPr>
          <w:sz w:val="24"/>
          <w:szCs w:val="24"/>
          <w:lang w:val="fi-FI"/>
        </w:rPr>
        <w:t xml:space="preserve"> </w:t>
      </w:r>
      <w:r w:rsidRPr="004F79EF">
        <w:rPr>
          <w:sz w:val="24"/>
          <w:szCs w:val="24"/>
          <w:lang w:val="mt-MT"/>
        </w:rPr>
        <w:tab/>
      </w:r>
      <w:r w:rsidR="00516422">
        <w:rPr>
          <w:sz w:val="24"/>
          <w:szCs w:val="24"/>
          <w:lang w:val="mt-MT"/>
        </w:rPr>
        <w:t>ĠU</w:t>
      </w:r>
      <w:r w:rsidRPr="004F79EF">
        <w:rPr>
          <w:sz w:val="24"/>
          <w:szCs w:val="24"/>
          <w:lang w:val="mt-MT"/>
        </w:rPr>
        <w:t xml:space="preserve"> C, C/2024/1048, 9.2.2024, ELI: </w:t>
      </w:r>
      <w:hyperlink r:id="rId2" w:history="1">
        <w:r w:rsidRPr="004F79EF">
          <w:rPr>
            <w:rStyle w:val="Hyperlink"/>
            <w:sz w:val="24"/>
            <w:szCs w:val="24"/>
            <w:lang w:val="mt-MT"/>
          </w:rPr>
          <w:t>http://data.europa.eu/eli/C/2024/1048/oj</w:t>
        </w:r>
      </w:hyperlink>
      <w:r w:rsidRPr="004F79EF">
        <w:rPr>
          <w:sz w:val="24"/>
          <w:szCs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75297884">
    <w:abstractNumId w:val="2"/>
  </w:num>
  <w:num w:numId="2" w16cid:durableId="155923014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1"/>
  </w:num>
  <w:num w:numId="6" w16cid:durableId="19748251">
    <w:abstractNumId w:val="20"/>
  </w:num>
  <w:num w:numId="7" w16cid:durableId="194975596">
    <w:abstractNumId w:val="37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8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1"/>
  </w:num>
  <w:num w:numId="18" w16cid:durableId="850142578">
    <w:abstractNumId w:val="29"/>
  </w:num>
  <w:num w:numId="19" w16cid:durableId="9839530">
    <w:abstractNumId w:val="24"/>
  </w:num>
  <w:num w:numId="20" w16cid:durableId="1073358758">
    <w:abstractNumId w:val="34"/>
  </w:num>
  <w:num w:numId="21" w16cid:durableId="1326860946">
    <w:abstractNumId w:val="33"/>
  </w:num>
  <w:num w:numId="22" w16cid:durableId="1663196454">
    <w:abstractNumId w:val="35"/>
  </w:num>
  <w:num w:numId="23" w16cid:durableId="808937615">
    <w:abstractNumId w:val="6"/>
  </w:num>
  <w:num w:numId="24" w16cid:durableId="1466007105">
    <w:abstractNumId w:val="27"/>
  </w:num>
  <w:num w:numId="25" w16cid:durableId="1475875094">
    <w:abstractNumId w:val="1"/>
  </w:num>
  <w:num w:numId="26" w16cid:durableId="1816027014">
    <w:abstractNumId w:val="28"/>
  </w:num>
  <w:num w:numId="27" w16cid:durableId="1689023111">
    <w:abstractNumId w:val="25"/>
  </w:num>
  <w:num w:numId="28" w16cid:durableId="1106273980">
    <w:abstractNumId w:val="3"/>
  </w:num>
  <w:num w:numId="29" w16cid:durableId="154153400">
    <w:abstractNumId w:val="32"/>
  </w:num>
  <w:num w:numId="30" w16cid:durableId="366873316">
    <w:abstractNumId w:val="36"/>
  </w:num>
  <w:num w:numId="31" w16cid:durableId="1037966521">
    <w:abstractNumId w:val="22"/>
  </w:num>
  <w:num w:numId="32" w16cid:durableId="1971782157">
    <w:abstractNumId w:val="30"/>
  </w:num>
  <w:num w:numId="33" w16cid:durableId="2094692991">
    <w:abstractNumId w:val="26"/>
  </w:num>
  <w:num w:numId="34" w16cid:durableId="1095132390">
    <w:abstractNumId w:val="17"/>
  </w:num>
  <w:num w:numId="35" w16cid:durableId="1755589573">
    <w:abstractNumId w:val="0"/>
  </w:num>
  <w:num w:numId="36" w16cid:durableId="1059204818">
    <w:abstractNumId w:val="10"/>
  </w:num>
  <w:num w:numId="37" w16cid:durableId="1023554113">
    <w:abstractNumId w:val="8"/>
  </w:num>
  <w:num w:numId="38" w16cid:durableId="1342467967">
    <w:abstractNumId w:val="11"/>
  </w:num>
  <w:num w:numId="39" w16cid:durableId="127771736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MT"/>
    <w:docVar w:name="dvnumam" w:val="251"/>
    <w:docVar w:name="dvpe" w:val="753.573"/>
    <w:docVar w:name="dvrapporteur" w:val="Rapporteur: "/>
    <w:docVar w:name="dvstar" w:val="***I"/>
    <w:docVar w:name="dvtitre" w:val="Riżoluzzjoni leġiżlattiva tal-Parlament Ewropew xx xx xxxx 2026 dwar il-proposta għal direttiva tal-Parlament Ewropew u tal-Kunsill dwar il-ġlieda kontra l-korruzzjoni, sostituzzjoni tad-Deċiżjoni Kwadru tal-Kunsill 2003/568/JHA u l-Konvenzjoni dwar il-ġlieda kontra l-korruzzjoni li tinvolvi uffiċjali tal-Komunitajiet Ewropej jew uffiċjali tal-Istati Membri tal-Unjoni Ewropea u emenda tad-Direttiva (UE) 2017/1371 tal-Parlament Ewropew u tal-Kunsill(COM(2023)0234 – C9-0162/2023 – 2023/0135(COD))"/>
  </w:docVars>
  <w:rsids>
    <w:rsidRoot w:val="00E76DDA"/>
    <w:rsid w:val="0000035F"/>
    <w:rsid w:val="00002272"/>
    <w:rsid w:val="00064002"/>
    <w:rsid w:val="000677B9"/>
    <w:rsid w:val="000831BA"/>
    <w:rsid w:val="000A42CC"/>
    <w:rsid w:val="000E7DD9"/>
    <w:rsid w:val="0010095E"/>
    <w:rsid w:val="001215EB"/>
    <w:rsid w:val="00125B37"/>
    <w:rsid w:val="00187494"/>
    <w:rsid w:val="001C3079"/>
    <w:rsid w:val="001F32AE"/>
    <w:rsid w:val="001F5046"/>
    <w:rsid w:val="002767FF"/>
    <w:rsid w:val="002B18FE"/>
    <w:rsid w:val="002B5493"/>
    <w:rsid w:val="00343214"/>
    <w:rsid w:val="00346F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4F79EF"/>
    <w:rsid w:val="0050519A"/>
    <w:rsid w:val="005072A1"/>
    <w:rsid w:val="00514517"/>
    <w:rsid w:val="00516422"/>
    <w:rsid w:val="00545827"/>
    <w:rsid w:val="00560270"/>
    <w:rsid w:val="00597F8F"/>
    <w:rsid w:val="005C2568"/>
    <w:rsid w:val="005E4150"/>
    <w:rsid w:val="005F09CE"/>
    <w:rsid w:val="005F1B17"/>
    <w:rsid w:val="006037C0"/>
    <w:rsid w:val="0064253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EF9"/>
    <w:rsid w:val="00817416"/>
    <w:rsid w:val="00842779"/>
    <w:rsid w:val="00865F67"/>
    <w:rsid w:val="00867C7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0C7"/>
    <w:rsid w:val="0099673A"/>
    <w:rsid w:val="00A1687D"/>
    <w:rsid w:val="00A43E52"/>
    <w:rsid w:val="00A4678D"/>
    <w:rsid w:val="00A778C7"/>
    <w:rsid w:val="00A91DE8"/>
    <w:rsid w:val="00AB441E"/>
    <w:rsid w:val="00AB6293"/>
    <w:rsid w:val="00AE0928"/>
    <w:rsid w:val="00AF3B82"/>
    <w:rsid w:val="00B12E95"/>
    <w:rsid w:val="00B1387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3DE"/>
    <w:rsid w:val="00CC2357"/>
    <w:rsid w:val="00CF071A"/>
    <w:rsid w:val="00D058B8"/>
    <w:rsid w:val="00D56C11"/>
    <w:rsid w:val="00D834A0"/>
    <w:rsid w:val="00D872DF"/>
    <w:rsid w:val="00D91E21"/>
    <w:rsid w:val="00DA7FCD"/>
    <w:rsid w:val="00E12A81"/>
    <w:rsid w:val="00E365E1"/>
    <w:rsid w:val="00E76DD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96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7B3EC"/>
  <w15:chartTrackingRefBased/>
  <w15:docId w15:val="{59069590-0934-4B9D-9A17-4F9F9C36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B43D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B43D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B43D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B43D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3D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3DE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3DE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3DE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3DE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B43D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B43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B43D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B43DE"/>
    <w:pPr>
      <w:spacing w:after="120"/>
    </w:pPr>
  </w:style>
  <w:style w:type="paragraph" w:customStyle="1" w:styleId="PageHeading">
    <w:name w:val="PageHeading"/>
    <w:basedOn w:val="Normal"/>
    <w:rsid w:val="00CB43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B43DE"/>
    <w:rPr>
      <w:b/>
    </w:rPr>
  </w:style>
  <w:style w:type="paragraph" w:customStyle="1" w:styleId="NormalBold12a">
    <w:name w:val="NormalBold12a"/>
    <w:basedOn w:val="Normal"/>
    <w:rsid w:val="00CB43DE"/>
    <w:pPr>
      <w:spacing w:after="240"/>
    </w:pPr>
    <w:rPr>
      <w:b/>
    </w:rPr>
  </w:style>
  <w:style w:type="paragraph" w:customStyle="1" w:styleId="AmJustText">
    <w:name w:val="AmJustText"/>
    <w:basedOn w:val="Normal"/>
    <w:rsid w:val="00CB43D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B43D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B43DE"/>
    <w:pPr>
      <w:spacing w:after="480"/>
      <w:ind w:left="1417"/>
    </w:pPr>
  </w:style>
  <w:style w:type="paragraph" w:customStyle="1" w:styleId="CoverNormal">
    <w:name w:val="CoverNormal"/>
    <w:basedOn w:val="Normal"/>
    <w:rsid w:val="00CB43DE"/>
    <w:pPr>
      <w:ind w:left="1418"/>
    </w:pPr>
  </w:style>
  <w:style w:type="paragraph" w:customStyle="1" w:styleId="AmCrossRef">
    <w:name w:val="AmCrossRef"/>
    <w:basedOn w:val="Normal"/>
    <w:rsid w:val="00CB43D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B43D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B43D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B43D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B43D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B43D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B4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3DE"/>
    <w:rPr>
      <w:sz w:val="24"/>
      <w:lang w:val="mt-MT"/>
    </w:rPr>
  </w:style>
  <w:style w:type="paragraph" w:customStyle="1" w:styleId="AmOrLang">
    <w:name w:val="AmOrLang"/>
    <w:basedOn w:val="Normal"/>
    <w:rsid w:val="00CB43D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B43D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B43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B43DE"/>
    <w:pPr>
      <w:spacing w:before="240"/>
    </w:pPr>
    <w:rPr>
      <w:b/>
    </w:rPr>
  </w:style>
  <w:style w:type="paragraph" w:customStyle="1" w:styleId="EPBody">
    <w:name w:val="EPBody"/>
    <w:basedOn w:val="Normal"/>
    <w:rsid w:val="00CB43D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B43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B43DE"/>
    <w:pPr>
      <w:spacing w:before="480" w:after="240"/>
    </w:pPr>
  </w:style>
  <w:style w:type="paragraph" w:customStyle="1" w:styleId="Lgendesigne">
    <w:name w:val="Légende signe"/>
    <w:basedOn w:val="Normal"/>
    <w:rsid w:val="00CB43D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B43D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B43DE"/>
    <w:rPr>
      <w:sz w:val="18"/>
    </w:rPr>
  </w:style>
  <w:style w:type="paragraph" w:customStyle="1" w:styleId="msonormal0">
    <w:name w:val="msonormal"/>
    <w:basedOn w:val="Normal"/>
    <w:rsid w:val="00CB43D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CB43DE"/>
    <w:rPr>
      <w:noProof/>
      <w:sz w:val="24"/>
    </w:rPr>
  </w:style>
  <w:style w:type="paragraph" w:customStyle="1" w:styleId="Normal12">
    <w:name w:val="Normal12"/>
    <w:basedOn w:val="Normal"/>
    <w:link w:val="Normal12Char"/>
    <w:rsid w:val="00CB43D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B43D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B43D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B43D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B43D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B43D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B43DE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B43D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B43DE"/>
    <w:rPr>
      <w:b/>
      <w:sz w:val="24"/>
      <w:lang w:val="mt-MT"/>
    </w:rPr>
  </w:style>
  <w:style w:type="paragraph" w:customStyle="1" w:styleId="Normal12Italic">
    <w:name w:val="Normal12Italic"/>
    <w:basedOn w:val="Normal12"/>
    <w:rsid w:val="00CB43DE"/>
    <w:rPr>
      <w:i/>
    </w:rPr>
  </w:style>
  <w:style w:type="paragraph" w:customStyle="1" w:styleId="JustificationTitle">
    <w:name w:val="JustificationTitle"/>
    <w:basedOn w:val="Normal"/>
    <w:next w:val="Normal12"/>
    <w:rsid w:val="00CB43D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B43D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B43D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B43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B43DE"/>
    <w:pPr>
      <w:spacing w:before="240"/>
      <w:jc w:val="center"/>
    </w:pPr>
    <w:rPr>
      <w:i/>
    </w:rPr>
  </w:style>
  <w:style w:type="character" w:customStyle="1" w:styleId="Footer2Middle">
    <w:name w:val="Footer2Middle"/>
    <w:rsid w:val="00CB43D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B43D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CB4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43DE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CB43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43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43D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B4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B43DE"/>
    <w:rPr>
      <w:b/>
      <w:bCs/>
      <w:lang w:val="mt-MT"/>
    </w:rPr>
  </w:style>
  <w:style w:type="paragraph" w:customStyle="1" w:styleId="Normal1">
    <w:name w:val="Normal1"/>
    <w:basedOn w:val="Normal"/>
    <w:rsid w:val="00CB43D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CB43DE"/>
    <w:rPr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CB43DE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CB43DE"/>
    <w:rPr>
      <w:b/>
      <w:sz w:val="24"/>
      <w:lang w:val="mt-MT"/>
    </w:rPr>
  </w:style>
  <w:style w:type="paragraph" w:customStyle="1" w:styleId="Normal24a">
    <w:name w:val="Normal24a"/>
    <w:basedOn w:val="Normal"/>
    <w:rsid w:val="00CB43DE"/>
    <w:pPr>
      <w:spacing w:after="480"/>
    </w:pPr>
  </w:style>
  <w:style w:type="paragraph" w:customStyle="1" w:styleId="NormalBoldCenter">
    <w:name w:val="NormalBoldCenter"/>
    <w:basedOn w:val="Normal"/>
    <w:rsid w:val="00CB43DE"/>
    <w:pPr>
      <w:jc w:val="center"/>
    </w:pPr>
    <w:rPr>
      <w:b/>
    </w:rPr>
  </w:style>
  <w:style w:type="paragraph" w:customStyle="1" w:styleId="Normal12a">
    <w:name w:val="Normal12a"/>
    <w:basedOn w:val="Normal"/>
    <w:rsid w:val="00CB43DE"/>
    <w:pPr>
      <w:spacing w:after="240"/>
    </w:pPr>
  </w:style>
  <w:style w:type="paragraph" w:customStyle="1" w:styleId="PageHeadingNotTOC">
    <w:name w:val="PageHeadingNotTOC"/>
    <w:basedOn w:val="Normal"/>
    <w:rsid w:val="00CB43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B43D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CB43D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B43D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B43D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B43DE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CB43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35F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99673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9673A"/>
    <w:pPr>
      <w:spacing w:after="240"/>
      <w:jc w:val="center"/>
    </w:pPr>
  </w:style>
  <w:style w:type="paragraph" w:customStyle="1" w:styleId="AmDateTab">
    <w:name w:val="AmDateTab"/>
    <w:basedOn w:val="Normal"/>
    <w:rsid w:val="0099673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9673A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9967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3A"/>
    <w:rPr>
      <w:sz w:val="24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99673A"/>
  </w:style>
  <w:style w:type="paragraph" w:styleId="TOC4">
    <w:name w:val="toc 4"/>
    <w:basedOn w:val="Normal"/>
    <w:next w:val="Normal"/>
    <w:uiPriority w:val="39"/>
    <w:unhideWhenUsed/>
    <w:rsid w:val="0099673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9673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9673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9673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9673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9673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9673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9673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9673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9673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9673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9673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9673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9673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9673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9673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9673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9673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9673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9673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9673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9673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9673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9673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967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9673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9673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9673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9673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9673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9673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9673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9673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9673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9673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9673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9673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9673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9673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9673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9673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9673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9673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9673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9673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9673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9673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9673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9673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9673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9673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9673A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9673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9673A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9673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9673A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9673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9673A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9673A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9673A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9673A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9673A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9673A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9673A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9673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9673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9673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9673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9673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967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967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967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967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967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967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9673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9673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9673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9673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99673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9673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9673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9673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9673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99673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9673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9673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9673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9673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9673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9673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9673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9673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9673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9673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9673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9673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9673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9673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9673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9673A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9673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9673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9673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9673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9673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9673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9673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9673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9673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9673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9673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9673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9673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9673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9673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9673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9673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9673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967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9673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9673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9673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9673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9673A"/>
    <w:pPr>
      <w:spacing w:before="240"/>
    </w:pPr>
  </w:style>
  <w:style w:type="paragraph" w:customStyle="1" w:styleId="Accordtitre">
    <w:name w:val="Accord titre"/>
    <w:basedOn w:val="Normal"/>
    <w:rsid w:val="0099673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9673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9673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9673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9673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9673A"/>
    <w:pPr>
      <w:spacing w:after="240"/>
    </w:pPr>
  </w:style>
  <w:style w:type="paragraph" w:customStyle="1" w:styleId="Annexetitre">
    <w:name w:val="Annexe titre"/>
    <w:basedOn w:val="Normal"/>
    <w:next w:val="Normal"/>
    <w:rsid w:val="0099673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9673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9673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9673A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99673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967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967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967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967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9673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9673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9673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9673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9673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9673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9673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9673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9673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9673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9673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9673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9673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9673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9673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9673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9673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9673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9673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9673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967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967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99673A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99673A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99673A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99673A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99673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99673A"/>
    <w:rPr>
      <w:rFonts w:ascii="Arial" w:hAnsi="Arial" w:cs="Arial"/>
      <w:b/>
      <w:sz w:val="36"/>
      <w:szCs w:val="36"/>
      <w:u w:color="606060"/>
      <w:lang w:val="mt-MT" w:eastAsia="en-US"/>
    </w:rPr>
  </w:style>
  <w:style w:type="paragraph" w:customStyle="1" w:styleId="TBSubjectTable">
    <w:name w:val="TBSubjectTable"/>
    <w:basedOn w:val="TechnicalBlockBase"/>
    <w:rsid w:val="0099673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99673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9673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9673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character" w:customStyle="1" w:styleId="TechnicalBlockBaseChar">
    <w:name w:val="TechnicalBlockBase Char"/>
    <w:basedOn w:val="EntEUChar"/>
    <w:link w:val="TechnicalBlockBase"/>
    <w:rsid w:val="0099673A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paragraph" w:customStyle="1" w:styleId="HeaderCouncilLarge">
    <w:name w:val="Header Council Large"/>
    <w:basedOn w:val="Normal"/>
    <w:link w:val="HeaderCouncilLargeChar"/>
    <w:rsid w:val="0099673A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99673A"/>
    <w:rPr>
      <w:rFonts w:ascii="Arial" w:hAnsi="Arial" w:cs="Arial"/>
      <w:b/>
      <w:sz w:val="2"/>
      <w:szCs w:val="24"/>
      <w:u w:color="606060"/>
      <w:lang w:val="mt-MT" w:eastAsia="en-US"/>
    </w:rPr>
  </w:style>
  <w:style w:type="paragraph" w:customStyle="1" w:styleId="FooterText">
    <w:name w:val="Footer Text"/>
    <w:basedOn w:val="Normal"/>
    <w:rsid w:val="0099673A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9673A"/>
    <w:rPr>
      <w:color w:val="808080"/>
    </w:rPr>
  </w:style>
  <w:style w:type="paragraph" w:customStyle="1" w:styleId="NormalJustified">
    <w:name w:val="Normal Justified"/>
    <w:basedOn w:val="Normal"/>
    <w:rsid w:val="0099673A"/>
    <w:pPr>
      <w:widowControl/>
      <w:spacing w:before="200" w:after="120" w:line="360" w:lineRule="auto"/>
      <w:jc w:val="both"/>
    </w:pPr>
    <w:rPr>
      <w:rFonts w:eastAsia="Calibri"/>
      <w:szCs w:val="22"/>
      <w:lang w:eastAsia="mt-MT" w:bidi="mt-MT"/>
    </w:rPr>
  </w:style>
  <w:style w:type="paragraph" w:customStyle="1" w:styleId="FinalLine">
    <w:name w:val="Final Line"/>
    <w:basedOn w:val="Normal"/>
    <w:next w:val="Normal"/>
    <w:rsid w:val="0099673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mt-MT" w:bidi="mt-MT"/>
    </w:rPr>
  </w:style>
  <w:style w:type="paragraph" w:customStyle="1" w:styleId="FinalLineLandscape">
    <w:name w:val="Final Line (Landscape)"/>
    <w:basedOn w:val="Normal"/>
    <w:next w:val="Normal"/>
    <w:rsid w:val="0099673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mt-MT" w:bidi="mt-MT"/>
    </w:rPr>
  </w:style>
  <w:style w:type="paragraph" w:customStyle="1" w:styleId="PointManual">
    <w:name w:val="Point Manual"/>
    <w:basedOn w:val="Normal"/>
    <w:rsid w:val="0099673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mt-MT" w:bidi="mt-MT"/>
    </w:rPr>
  </w:style>
  <w:style w:type="paragraph" w:customStyle="1" w:styleId="PointManual1">
    <w:name w:val="Point Manual (1)"/>
    <w:basedOn w:val="Normal"/>
    <w:rsid w:val="0099673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mt-MT" w:bidi="mt-MT"/>
    </w:rPr>
  </w:style>
  <w:style w:type="paragraph" w:customStyle="1" w:styleId="PointManual2">
    <w:name w:val="Point Manual (2)"/>
    <w:basedOn w:val="Normal"/>
    <w:rsid w:val="0099673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mt-MT" w:bidi="mt-MT"/>
    </w:rPr>
  </w:style>
  <w:style w:type="paragraph" w:customStyle="1" w:styleId="PointManual3">
    <w:name w:val="Point Manual (3)"/>
    <w:basedOn w:val="Normal"/>
    <w:rsid w:val="0099673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mt-MT" w:bidi="mt-MT"/>
    </w:rPr>
  </w:style>
  <w:style w:type="paragraph" w:customStyle="1" w:styleId="PointManual4">
    <w:name w:val="Point Manual (4)"/>
    <w:basedOn w:val="Normal"/>
    <w:rsid w:val="0099673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mt-MT" w:bidi="mt-MT"/>
    </w:rPr>
  </w:style>
  <w:style w:type="paragraph" w:customStyle="1" w:styleId="PointDoubleManual">
    <w:name w:val="Point Double Manual"/>
    <w:basedOn w:val="Normal"/>
    <w:rsid w:val="0099673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mt-MT" w:bidi="mt-MT"/>
    </w:rPr>
  </w:style>
  <w:style w:type="paragraph" w:customStyle="1" w:styleId="PointDoubleManual1">
    <w:name w:val="Point Double Manual (1)"/>
    <w:basedOn w:val="Normal"/>
    <w:rsid w:val="0099673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mt-MT" w:bidi="mt-MT"/>
    </w:rPr>
  </w:style>
  <w:style w:type="paragraph" w:customStyle="1" w:styleId="PointDoubleManual2">
    <w:name w:val="Point Double Manual (2)"/>
    <w:basedOn w:val="Normal"/>
    <w:rsid w:val="0099673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mt-MT" w:bidi="mt-MT"/>
    </w:rPr>
  </w:style>
  <w:style w:type="paragraph" w:customStyle="1" w:styleId="PointDoubleManual3">
    <w:name w:val="Point Double Manual (3)"/>
    <w:basedOn w:val="Normal"/>
    <w:rsid w:val="0099673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mt-MT" w:bidi="mt-MT"/>
    </w:rPr>
  </w:style>
  <w:style w:type="paragraph" w:customStyle="1" w:styleId="PointDoubleManual4">
    <w:name w:val="Point Double Manual (4)"/>
    <w:basedOn w:val="Normal"/>
    <w:rsid w:val="0099673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mt-MT" w:bidi="mt-MT"/>
    </w:rPr>
  </w:style>
  <w:style w:type="paragraph" w:customStyle="1" w:styleId="Pointabc">
    <w:name w:val="Point abc"/>
    <w:basedOn w:val="Normal"/>
    <w:rsid w:val="0099673A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1">
    <w:name w:val="Point abc (1)"/>
    <w:basedOn w:val="Normal"/>
    <w:rsid w:val="0099673A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2">
    <w:name w:val="Point abc (2)"/>
    <w:basedOn w:val="Normal"/>
    <w:rsid w:val="0099673A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3">
    <w:name w:val="Point abc (3)"/>
    <w:basedOn w:val="Normal"/>
    <w:rsid w:val="0099673A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4">
    <w:name w:val="Point abc (4)"/>
    <w:basedOn w:val="Normal"/>
    <w:rsid w:val="0099673A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">
    <w:name w:val="Point 123"/>
    <w:basedOn w:val="Normal"/>
    <w:rsid w:val="0099673A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1">
    <w:name w:val="Point 123 (1)"/>
    <w:basedOn w:val="Normal"/>
    <w:rsid w:val="0099673A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2">
    <w:name w:val="Point 123 (2)"/>
    <w:basedOn w:val="Normal"/>
    <w:rsid w:val="0099673A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3">
    <w:name w:val="Point 123 (3)"/>
    <w:basedOn w:val="Normal"/>
    <w:rsid w:val="0099673A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">
    <w:name w:val="Point ivx"/>
    <w:basedOn w:val="Normal"/>
    <w:rsid w:val="0099673A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1">
    <w:name w:val="Point ivx (1)"/>
    <w:basedOn w:val="Normal"/>
    <w:rsid w:val="0099673A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2">
    <w:name w:val="Point ivx (2)"/>
    <w:basedOn w:val="Normal"/>
    <w:rsid w:val="0099673A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3">
    <w:name w:val="Point ivx (3)"/>
    <w:basedOn w:val="Normal"/>
    <w:rsid w:val="0099673A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4">
    <w:name w:val="Point ivx (4)"/>
    <w:basedOn w:val="Normal"/>
    <w:rsid w:val="0099673A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Bullet">
    <w:name w:val="Bullet"/>
    <w:basedOn w:val="Normal"/>
    <w:rsid w:val="0099673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">
    <w:name w:val="Dash"/>
    <w:basedOn w:val="Normal"/>
    <w:rsid w:val="0099673A"/>
    <w:pPr>
      <w:widowControl/>
      <w:numPr>
        <w:numId w:val="24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1">
    <w:name w:val="Dash 1"/>
    <w:basedOn w:val="Normal"/>
    <w:rsid w:val="0099673A"/>
    <w:pPr>
      <w:widowControl/>
      <w:numPr>
        <w:numId w:val="25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2">
    <w:name w:val="Dash 2"/>
    <w:basedOn w:val="Normal"/>
    <w:rsid w:val="0099673A"/>
    <w:pPr>
      <w:widowControl/>
      <w:numPr>
        <w:numId w:val="26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3">
    <w:name w:val="Dash 3"/>
    <w:basedOn w:val="Normal"/>
    <w:rsid w:val="0099673A"/>
    <w:pPr>
      <w:widowControl/>
      <w:numPr>
        <w:numId w:val="27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4">
    <w:name w:val="Dash 4"/>
    <w:basedOn w:val="Normal"/>
    <w:rsid w:val="0099673A"/>
    <w:pPr>
      <w:widowControl/>
      <w:numPr>
        <w:numId w:val="2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Equal">
    <w:name w:val="Dash Equal"/>
    <w:basedOn w:val="Dash"/>
    <w:rsid w:val="0099673A"/>
    <w:pPr>
      <w:numPr>
        <w:numId w:val="29"/>
      </w:numPr>
      <w:tabs>
        <w:tab w:val="clear" w:pos="567"/>
        <w:tab w:val="num" w:pos="4819"/>
      </w:tabs>
      <w:ind w:left="0" w:firstLine="0"/>
    </w:pPr>
  </w:style>
  <w:style w:type="paragraph" w:customStyle="1" w:styleId="DashEqual1">
    <w:name w:val="Dash Equal 1"/>
    <w:basedOn w:val="Dash1"/>
    <w:rsid w:val="0099673A"/>
    <w:pPr>
      <w:numPr>
        <w:numId w:val="30"/>
      </w:numPr>
      <w:tabs>
        <w:tab w:val="clear" w:pos="1134"/>
        <w:tab w:val="num" w:pos="5386"/>
      </w:tabs>
      <w:ind w:left="0" w:firstLine="0"/>
    </w:pPr>
  </w:style>
  <w:style w:type="paragraph" w:customStyle="1" w:styleId="DashEqual2">
    <w:name w:val="Dash Equal 2"/>
    <w:basedOn w:val="Dash2"/>
    <w:rsid w:val="0099673A"/>
    <w:pPr>
      <w:numPr>
        <w:numId w:val="31"/>
      </w:numPr>
      <w:tabs>
        <w:tab w:val="clear" w:pos="1701"/>
        <w:tab w:val="num" w:pos="850"/>
      </w:tabs>
      <w:ind w:left="0" w:firstLine="0"/>
    </w:pPr>
  </w:style>
  <w:style w:type="paragraph" w:customStyle="1" w:styleId="DashEqual3">
    <w:name w:val="Dash Equal 3"/>
    <w:basedOn w:val="Dash3"/>
    <w:rsid w:val="0099673A"/>
    <w:pPr>
      <w:numPr>
        <w:numId w:val="32"/>
      </w:numPr>
      <w:tabs>
        <w:tab w:val="clear" w:pos="2268"/>
        <w:tab w:val="num" w:pos="850"/>
      </w:tabs>
      <w:ind w:left="0" w:firstLine="0"/>
    </w:pPr>
  </w:style>
  <w:style w:type="paragraph" w:customStyle="1" w:styleId="DashEqual4">
    <w:name w:val="Dash Equal 4"/>
    <w:basedOn w:val="Dash4"/>
    <w:rsid w:val="0099673A"/>
    <w:pPr>
      <w:numPr>
        <w:numId w:val="33"/>
      </w:numPr>
      <w:tabs>
        <w:tab w:val="clear" w:pos="2835"/>
        <w:tab w:val="num" w:pos="360"/>
      </w:tabs>
      <w:ind w:left="0" w:firstLine="0"/>
    </w:pPr>
  </w:style>
  <w:style w:type="paragraph" w:customStyle="1" w:styleId="HeadingLeft">
    <w:name w:val="Heading Left"/>
    <w:basedOn w:val="Normal"/>
    <w:next w:val="Normal"/>
    <w:rsid w:val="0099673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mt-MT" w:bidi="mt-MT"/>
    </w:rPr>
  </w:style>
  <w:style w:type="paragraph" w:customStyle="1" w:styleId="HeadingIVX">
    <w:name w:val="Heading IVX"/>
    <w:basedOn w:val="HeadingLeft"/>
    <w:next w:val="Normal"/>
    <w:rsid w:val="0099673A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99673A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99673A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99673A"/>
    <w:pPr>
      <w:jc w:val="center"/>
    </w:pPr>
  </w:style>
  <w:style w:type="paragraph" w:customStyle="1" w:styleId="Jardin">
    <w:name w:val="Jardin"/>
    <w:basedOn w:val="Normal"/>
    <w:rsid w:val="0099673A"/>
    <w:pPr>
      <w:widowControl/>
      <w:spacing w:before="200"/>
      <w:jc w:val="center"/>
    </w:pPr>
    <w:rPr>
      <w:rFonts w:eastAsia="Calibri"/>
      <w:szCs w:val="22"/>
      <w:lang w:eastAsia="mt-MT" w:bidi="mt-MT"/>
    </w:rPr>
  </w:style>
  <w:style w:type="paragraph" w:customStyle="1" w:styleId="Amendment">
    <w:name w:val="Amendment"/>
    <w:basedOn w:val="Normal"/>
    <w:next w:val="Normal"/>
    <w:rsid w:val="0099673A"/>
    <w:pPr>
      <w:widowControl/>
      <w:spacing w:before="120" w:after="120" w:line="360" w:lineRule="auto"/>
    </w:pPr>
    <w:rPr>
      <w:rFonts w:eastAsia="Calibri"/>
      <w:i/>
      <w:szCs w:val="22"/>
      <w:u w:val="single"/>
      <w:lang w:eastAsia="mt-MT" w:bidi="mt-MT"/>
    </w:rPr>
  </w:style>
  <w:style w:type="paragraph" w:customStyle="1" w:styleId="AmendmentList">
    <w:name w:val="Amendment List"/>
    <w:basedOn w:val="Normal"/>
    <w:rsid w:val="0099673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mt-MT" w:bidi="mt-MT"/>
    </w:rPr>
  </w:style>
  <w:style w:type="paragraph" w:customStyle="1" w:styleId="ReplyRE">
    <w:name w:val="Reply RE"/>
    <w:basedOn w:val="Normal"/>
    <w:next w:val="Normal"/>
    <w:rsid w:val="0099673A"/>
    <w:pPr>
      <w:widowControl/>
      <w:spacing w:before="120" w:after="480"/>
      <w:contextualSpacing/>
    </w:pPr>
    <w:rPr>
      <w:rFonts w:eastAsia="Calibri"/>
      <w:szCs w:val="22"/>
      <w:lang w:eastAsia="mt-MT" w:bidi="mt-MT"/>
    </w:rPr>
  </w:style>
  <w:style w:type="paragraph" w:customStyle="1" w:styleId="ReplyBold">
    <w:name w:val="Reply Bold"/>
    <w:basedOn w:val="ReplyRE"/>
    <w:next w:val="Normal"/>
    <w:rsid w:val="0099673A"/>
    <w:rPr>
      <w:b/>
    </w:rPr>
  </w:style>
  <w:style w:type="paragraph" w:customStyle="1" w:styleId="Annex">
    <w:name w:val="Annex"/>
    <w:basedOn w:val="Normal"/>
    <w:next w:val="Normal"/>
    <w:rsid w:val="0099673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mt-MT" w:bidi="mt-MT"/>
    </w:rPr>
  </w:style>
  <w:style w:type="paragraph" w:customStyle="1" w:styleId="Sign">
    <w:name w:val="Sign"/>
    <w:basedOn w:val="Normal"/>
    <w:rsid w:val="0099673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mt-MT" w:bidi="mt-MT"/>
    </w:rPr>
  </w:style>
  <w:style w:type="paragraph" w:customStyle="1" w:styleId="NotDeclassified">
    <w:name w:val="Not Declassified"/>
    <w:basedOn w:val="Normal"/>
    <w:next w:val="Normal"/>
    <w:rsid w:val="0099673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mt-MT" w:bidi="mt-MT"/>
    </w:rPr>
  </w:style>
  <w:style w:type="character" w:customStyle="1" w:styleId="NotDeclassifiedCharacter">
    <w:name w:val="Not Declassified Character"/>
    <w:basedOn w:val="DefaultParagraphFont"/>
    <w:rsid w:val="0099673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9673A"/>
    <w:pPr>
      <w:widowControl/>
      <w:spacing w:before="120" w:after="120"/>
    </w:pPr>
    <w:rPr>
      <w:rFonts w:eastAsia="Calibri"/>
      <w:szCs w:val="22"/>
      <w:lang w:eastAsia="mt-MT" w:bidi="mt-MT"/>
    </w:rPr>
  </w:style>
  <w:style w:type="paragraph" w:customStyle="1" w:styleId="TBEntInstit">
    <w:name w:val="TBEntInstit"/>
    <w:basedOn w:val="TechnicalBlockBase"/>
    <w:link w:val="EntInstitChar"/>
    <w:rsid w:val="0099673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99673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99673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99673A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99673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99673A"/>
    <w:pPr>
      <w:spacing w:line="216" w:lineRule="auto"/>
      <w:contextualSpacing/>
    </w:pPr>
    <w:rPr>
      <w:rFonts w:ascii="Arial" w:hAnsi="Arial" w:cs="Arial"/>
      <w:sz w:val="23"/>
      <w:lang w:eastAsia="mt-MT" w:bidi="mt-MT"/>
    </w:rPr>
  </w:style>
  <w:style w:type="character" w:customStyle="1" w:styleId="EntInstitChar">
    <w:name w:val="EntInstit Char"/>
    <w:basedOn w:val="DefaultParagraphFont"/>
    <w:link w:val="TBEntInstit"/>
    <w:rsid w:val="0099673A"/>
    <w:rPr>
      <w:rFonts w:ascii="Arial" w:hAnsi="Arial" w:cs="Arial"/>
      <w:b/>
      <w:sz w:val="23"/>
      <w:u w:color="606060"/>
      <w:lang w:val="mt-MT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99673A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mt-MT" w:eastAsia="fr-BE"/>
    </w:rPr>
  </w:style>
  <w:style w:type="paragraph" w:customStyle="1" w:styleId="Title1">
    <w:name w:val="Title1"/>
    <w:basedOn w:val="Normal"/>
    <w:next w:val="Normal"/>
    <w:uiPriority w:val="10"/>
    <w:qFormat/>
    <w:rsid w:val="0099673A"/>
    <w:pPr>
      <w:widowControl/>
      <w:spacing w:before="120" w:after="80" w:line="360" w:lineRule="auto"/>
      <w:contextualSpacing/>
    </w:pPr>
    <w:rPr>
      <w:rFonts w:ascii="Calibri Light" w:hAnsi="Calibri Light"/>
      <w:spacing w:val="-10"/>
      <w:kern w:val="28"/>
      <w:sz w:val="56"/>
      <w:szCs w:val="56"/>
      <w:lang w:eastAsia="mt-MT" w:bidi="mt-MT"/>
    </w:rPr>
  </w:style>
  <w:style w:type="character" w:customStyle="1" w:styleId="TitleChar">
    <w:name w:val="Title Char"/>
    <w:basedOn w:val="DefaultParagraphFont"/>
    <w:link w:val="Title"/>
    <w:uiPriority w:val="10"/>
    <w:rsid w:val="0099673A"/>
    <w:rPr>
      <w:rFonts w:ascii="Calibri Light" w:hAnsi="Calibri Light"/>
      <w:spacing w:val="-10"/>
      <w:kern w:val="28"/>
      <w:sz w:val="56"/>
      <w:szCs w:val="56"/>
      <w:lang w:val="mt-MT" w:eastAsia="mt-MT" w:bidi="mt-MT"/>
    </w:rPr>
  </w:style>
  <w:style w:type="paragraph" w:customStyle="1" w:styleId="Subtitle1">
    <w:name w:val="Subtitle1"/>
    <w:basedOn w:val="Normal"/>
    <w:next w:val="Normal"/>
    <w:uiPriority w:val="11"/>
    <w:qFormat/>
    <w:rsid w:val="0099673A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mt-MT" w:bidi="mt-MT"/>
    </w:rPr>
  </w:style>
  <w:style w:type="character" w:customStyle="1" w:styleId="SubtitleChar">
    <w:name w:val="Subtitle Char"/>
    <w:basedOn w:val="DefaultParagraphFont"/>
    <w:link w:val="Subtitle"/>
    <w:uiPriority w:val="11"/>
    <w:rsid w:val="0099673A"/>
    <w:rPr>
      <w:color w:val="595959"/>
      <w:spacing w:val="15"/>
      <w:kern w:val="2"/>
      <w:sz w:val="28"/>
      <w:szCs w:val="28"/>
      <w:lang w:val="mt-MT" w:eastAsia="mt-MT" w:bidi="mt-MT"/>
    </w:rPr>
  </w:style>
  <w:style w:type="paragraph" w:customStyle="1" w:styleId="Quote1">
    <w:name w:val="Quote1"/>
    <w:basedOn w:val="Normal"/>
    <w:next w:val="Normal"/>
    <w:uiPriority w:val="29"/>
    <w:qFormat/>
    <w:rsid w:val="0099673A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mt-MT" w:bidi="mt-MT"/>
    </w:rPr>
  </w:style>
  <w:style w:type="character" w:customStyle="1" w:styleId="QuoteChar">
    <w:name w:val="Quote Char"/>
    <w:basedOn w:val="DefaultParagraphFont"/>
    <w:link w:val="Quote"/>
    <w:uiPriority w:val="29"/>
    <w:rsid w:val="0099673A"/>
    <w:rPr>
      <w:i/>
      <w:iCs/>
      <w:color w:val="404040"/>
      <w:kern w:val="2"/>
      <w:lang w:val="mt-MT" w:eastAsia="mt-MT" w:bidi="mt-MT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99673A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mt-MT" w:bidi="mt-MT"/>
    </w:rPr>
  </w:style>
  <w:style w:type="character" w:customStyle="1" w:styleId="IntenseEmphasis1">
    <w:name w:val="Intense Emphasis1"/>
    <w:basedOn w:val="DefaultParagraphFont"/>
    <w:uiPriority w:val="21"/>
    <w:qFormat/>
    <w:rsid w:val="0099673A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99673A"/>
    <w:pPr>
      <w:widowControl/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2F5496"/>
      <w:kern w:val="2"/>
      <w:sz w:val="22"/>
      <w:szCs w:val="22"/>
      <w:lang w:eastAsia="mt-MT" w:bidi="mt-MT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73A"/>
    <w:rPr>
      <w:i/>
      <w:iCs/>
      <w:color w:val="2F5496"/>
      <w:kern w:val="2"/>
      <w:lang w:val="mt-MT" w:eastAsia="mt-MT" w:bidi="mt-MT"/>
    </w:rPr>
  </w:style>
  <w:style w:type="character" w:customStyle="1" w:styleId="IntenseReference1">
    <w:name w:val="Intense Reference1"/>
    <w:basedOn w:val="DefaultParagraphFont"/>
    <w:uiPriority w:val="32"/>
    <w:qFormat/>
    <w:rsid w:val="0099673A"/>
    <w:rPr>
      <w:b/>
      <w:bCs/>
      <w:smallCaps/>
      <w:color w:val="2F5496"/>
      <w:spacing w:val="5"/>
    </w:rPr>
  </w:style>
  <w:style w:type="character" w:customStyle="1" w:styleId="EntReferChar">
    <w:name w:val="EntRefer Char"/>
    <w:basedOn w:val="DefaultParagraphFont"/>
    <w:link w:val="TBEntRefer"/>
    <w:rsid w:val="0099673A"/>
    <w:rPr>
      <w:rFonts w:ascii="Arial" w:hAnsi="Arial" w:cs="Arial"/>
      <w:b/>
      <w:sz w:val="23"/>
      <w:szCs w:val="23"/>
      <w:u w:color="606060"/>
      <w:lang w:val="mt-MT" w:eastAsia="en-US"/>
    </w:rPr>
  </w:style>
  <w:style w:type="paragraph" w:customStyle="1" w:styleId="TBDistrbMarkers">
    <w:name w:val="TBDistrbMarkers"/>
    <w:basedOn w:val="TBEntRefer"/>
    <w:qFormat/>
    <w:rsid w:val="0099673A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99673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99673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DocumentGroup">
    <w:name w:val="TBDocumentGroup"/>
    <w:basedOn w:val="TechnicalBlockBase"/>
    <w:rsid w:val="0099673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99673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character" w:customStyle="1" w:styleId="TechnicalBlockChar">
    <w:name w:val="Technical Block Char"/>
    <w:basedOn w:val="DefaultParagraphFont"/>
    <w:rsid w:val="0099673A"/>
    <w:rPr>
      <w:rFonts w:ascii="Times New Roman" w:hAnsi="Times New Roman" w:cs="Times New Roman"/>
      <w:sz w:val="24"/>
      <w:lang w:val="mt-MT" w:eastAsia="mt-MT" w:bidi="mt-MT"/>
    </w:rPr>
  </w:style>
  <w:style w:type="paragraph" w:customStyle="1" w:styleId="title-bold">
    <w:name w:val="title-bold"/>
    <w:basedOn w:val="Normal"/>
    <w:rsid w:val="0099673A"/>
    <w:pPr>
      <w:widowControl/>
      <w:spacing w:before="100" w:beforeAutospacing="1" w:after="100" w:afterAutospacing="1"/>
    </w:pPr>
    <w:rPr>
      <w:szCs w:val="24"/>
      <w:lang w:eastAsia="mt-MT" w:bidi="mt-MT"/>
    </w:rPr>
  </w:style>
  <w:style w:type="paragraph" w:styleId="NormalWeb">
    <w:name w:val="Normal (Web)"/>
    <w:basedOn w:val="Normal"/>
    <w:uiPriority w:val="99"/>
    <w:unhideWhenUsed/>
    <w:rsid w:val="0099673A"/>
    <w:pPr>
      <w:widowControl/>
      <w:spacing w:before="100" w:beforeAutospacing="1" w:after="100" w:afterAutospacing="1"/>
    </w:pPr>
    <w:rPr>
      <w:szCs w:val="24"/>
      <w:lang w:eastAsia="mt-MT" w:bidi="mt-MT"/>
    </w:rPr>
  </w:style>
  <w:style w:type="character" w:styleId="Emphasis">
    <w:name w:val="Emphasis"/>
    <w:basedOn w:val="DefaultParagraphFont"/>
    <w:uiPriority w:val="20"/>
    <w:qFormat/>
    <w:rsid w:val="0099673A"/>
    <w:rPr>
      <w:i/>
      <w:iCs/>
    </w:rPr>
  </w:style>
  <w:style w:type="paragraph" w:styleId="NoSpacing">
    <w:name w:val="No Spacing"/>
    <w:uiPriority w:val="1"/>
    <w:qFormat/>
    <w:rsid w:val="0099673A"/>
    <w:rPr>
      <w:rFonts w:eastAsia="Calibri"/>
      <w:sz w:val="24"/>
      <w:szCs w:val="22"/>
      <w:lang w:val="mt-MT" w:eastAsia="mt-MT" w:bidi="mt-MT"/>
    </w:rPr>
  </w:style>
  <w:style w:type="paragraph" w:customStyle="1" w:styleId="Manual">
    <w:name w:val="Manual"/>
    <w:basedOn w:val="Normal"/>
    <w:rsid w:val="0099673A"/>
    <w:pPr>
      <w:widowControl/>
      <w:spacing w:before="120" w:after="120" w:line="360" w:lineRule="auto"/>
    </w:pPr>
    <w:rPr>
      <w:rFonts w:eastAsia="Calibri"/>
      <w:noProof/>
      <w:szCs w:val="22"/>
      <w:lang w:eastAsia="mt-MT" w:bidi="mt-MT"/>
    </w:rPr>
  </w:style>
  <w:style w:type="paragraph" w:customStyle="1" w:styleId="titreobjetcp">
    <w:name w:val="titreobjet_cp"/>
    <w:basedOn w:val="Normal"/>
    <w:rsid w:val="0099673A"/>
    <w:pPr>
      <w:widowControl/>
      <w:spacing w:before="100" w:beforeAutospacing="1" w:after="100" w:afterAutospacing="1"/>
    </w:pPr>
    <w:rPr>
      <w:szCs w:val="24"/>
      <w:lang w:eastAsia="mt-MT" w:bidi="mt-MT"/>
    </w:rPr>
  </w:style>
  <w:style w:type="paragraph" w:customStyle="1" w:styleId="CommentQuotedText">
    <w:name w:val="CommentQuotedText"/>
    <w:rsid w:val="0099673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mt-MT" w:bidi="mt-MT"/>
    </w:rPr>
  </w:style>
  <w:style w:type="paragraph" w:customStyle="1" w:styleId="CommentFwdQuotedText">
    <w:name w:val="CommentFwdQuotedText"/>
    <w:basedOn w:val="Normal"/>
    <w:rsid w:val="0099673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mt-MT" w:bidi="mt-MT"/>
    </w:rPr>
  </w:style>
  <w:style w:type="paragraph" w:customStyle="1" w:styleId="CommentReplyFwdQuotedText">
    <w:name w:val="CommentReplyFwdQuotedText"/>
    <w:basedOn w:val="CommentFwdQuotedText"/>
    <w:rsid w:val="0099673A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99673A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9673A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9673A"/>
    <w:pPr>
      <w:contextualSpacing/>
    </w:pPr>
    <w:rPr>
      <w:rFonts w:ascii="Calibri Light" w:hAnsi="Calibri Light"/>
      <w:spacing w:val="-10"/>
      <w:kern w:val="28"/>
      <w:sz w:val="56"/>
      <w:szCs w:val="56"/>
      <w:lang w:eastAsia="mt-MT" w:bidi="mt-MT"/>
    </w:rPr>
  </w:style>
  <w:style w:type="character" w:customStyle="1" w:styleId="TitleChar1">
    <w:name w:val="Title Char1"/>
    <w:basedOn w:val="DefaultParagraphFont"/>
    <w:rsid w:val="0099673A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73A"/>
    <w:pPr>
      <w:numPr>
        <w:ilvl w:val="1"/>
      </w:numPr>
      <w:spacing w:after="160"/>
    </w:pPr>
    <w:rPr>
      <w:color w:val="595959"/>
      <w:spacing w:val="15"/>
      <w:kern w:val="2"/>
      <w:sz w:val="28"/>
      <w:szCs w:val="28"/>
      <w:lang w:eastAsia="mt-MT" w:bidi="mt-MT"/>
    </w:rPr>
  </w:style>
  <w:style w:type="character" w:customStyle="1" w:styleId="SubtitleChar1">
    <w:name w:val="Subtitle Char1"/>
    <w:basedOn w:val="DefaultParagraphFont"/>
    <w:rsid w:val="0099673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99673A"/>
    <w:pPr>
      <w:spacing w:before="200" w:after="160"/>
      <w:ind w:left="864" w:right="864"/>
      <w:jc w:val="center"/>
    </w:pPr>
    <w:rPr>
      <w:i/>
      <w:iCs/>
      <w:color w:val="404040"/>
      <w:kern w:val="2"/>
      <w:sz w:val="20"/>
      <w:lang w:eastAsia="mt-MT" w:bidi="mt-MT"/>
    </w:rPr>
  </w:style>
  <w:style w:type="character" w:customStyle="1" w:styleId="QuoteChar1">
    <w:name w:val="Quote Char1"/>
    <w:basedOn w:val="DefaultParagraphFont"/>
    <w:uiPriority w:val="29"/>
    <w:rsid w:val="0099673A"/>
    <w:rPr>
      <w:i/>
      <w:iCs/>
      <w:color w:val="404040" w:themeColor="text1" w:themeTint="BF"/>
      <w:sz w:val="24"/>
      <w:lang w:val="mt-MT"/>
    </w:rPr>
  </w:style>
  <w:style w:type="paragraph" w:styleId="ListParagraph">
    <w:name w:val="List Paragraph"/>
    <w:basedOn w:val="Normal"/>
    <w:uiPriority w:val="34"/>
    <w:qFormat/>
    <w:rsid w:val="009967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73A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73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F5496"/>
      <w:kern w:val="2"/>
      <w:sz w:val="20"/>
      <w:lang w:eastAsia="mt-MT" w:bidi="mt-MT"/>
    </w:rPr>
  </w:style>
  <w:style w:type="character" w:customStyle="1" w:styleId="IntenseQuoteChar1">
    <w:name w:val="Intense Quote Char1"/>
    <w:basedOn w:val="DefaultParagraphFont"/>
    <w:uiPriority w:val="30"/>
    <w:rsid w:val="0099673A"/>
    <w:rPr>
      <w:i/>
      <w:iCs/>
      <w:color w:val="5B9BD5" w:themeColor="accent1"/>
      <w:sz w:val="24"/>
      <w:lang w:val="mt-MT"/>
    </w:rPr>
  </w:style>
  <w:style w:type="character" w:styleId="IntenseReference">
    <w:name w:val="Intense Reference"/>
    <w:basedOn w:val="DefaultParagraphFont"/>
    <w:uiPriority w:val="32"/>
    <w:qFormat/>
    <w:rsid w:val="0099673A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9967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3039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2026-05-13T09:10:00Z</dcterms:created>
  <dcterms:modified xsi:type="dcterms:W3CDTF">2026-05-13T09:10:00Z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