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56D1" w14:paraId="2607FE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53B408" w14:textId="77777777" w:rsidR="00751A4A" w:rsidRPr="00B756D1" w:rsidRDefault="001B6929" w:rsidP="0010095E">
            <w:pPr>
              <w:pStyle w:val="EPName"/>
            </w:pPr>
            <w:r w:rsidRPr="00B756D1">
              <w:t>Parlament Europejski</w:t>
            </w:r>
          </w:p>
          <w:p w14:paraId="072E6AC1" w14:textId="77777777" w:rsidR="00751A4A" w:rsidRPr="00B756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56D1">
              <w:t>2024</w:t>
            </w:r>
            <w:r w:rsidR="00817416" w:rsidRPr="00B756D1">
              <w:t>-202</w:t>
            </w:r>
            <w:r w:rsidRPr="00B756D1">
              <w:t>9</w:t>
            </w:r>
          </w:p>
        </w:tc>
        <w:tc>
          <w:tcPr>
            <w:tcW w:w="2268" w:type="dxa"/>
            <w:shd w:val="clear" w:color="auto" w:fill="auto"/>
          </w:tcPr>
          <w:p w14:paraId="1AC22B68" w14:textId="77777777" w:rsidR="00751A4A" w:rsidRPr="00B756D1" w:rsidRDefault="00187494" w:rsidP="0010095E">
            <w:pPr>
              <w:pStyle w:val="EPLogo"/>
            </w:pPr>
            <w:r w:rsidRPr="00B756D1">
              <w:rPr>
                <w:noProof/>
                <w:lang w:eastAsia="ja-JP"/>
              </w:rPr>
              <w:drawing>
                <wp:inline distT="0" distB="0" distL="0" distR="0" wp14:anchorId="4C501CFD" wp14:editId="387500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BE971D" w14:textId="77777777" w:rsidR="00D058B8" w:rsidRPr="00B756D1" w:rsidRDefault="00D058B8" w:rsidP="004C5D52">
      <w:pPr>
        <w:pStyle w:val="LineTop"/>
      </w:pPr>
    </w:p>
    <w:p w14:paraId="79B7E61C" w14:textId="77777777" w:rsidR="00680577" w:rsidRPr="00B756D1" w:rsidRDefault="001B6929" w:rsidP="00680577">
      <w:pPr>
        <w:pStyle w:val="EPBodyTA1"/>
      </w:pPr>
      <w:r w:rsidRPr="00B756D1">
        <w:t>TEKSTY PRZYJĘTE</w:t>
      </w:r>
    </w:p>
    <w:p w14:paraId="1F03B151" w14:textId="77777777" w:rsidR="00D058B8" w:rsidRPr="00B756D1" w:rsidRDefault="00D058B8" w:rsidP="00D058B8">
      <w:pPr>
        <w:pStyle w:val="LineBottom"/>
      </w:pPr>
    </w:p>
    <w:p w14:paraId="6BB62EB0" w14:textId="3CE1C928" w:rsidR="001B6929" w:rsidRPr="00B756D1" w:rsidRDefault="001B6929" w:rsidP="001B6929">
      <w:pPr>
        <w:pStyle w:val="ATHeading1"/>
      </w:pPr>
      <w:bookmarkStart w:id="0" w:name="TANumber"/>
      <w:r w:rsidRPr="00B756D1">
        <w:t>P10_TA(2026)00</w:t>
      </w:r>
      <w:bookmarkEnd w:id="0"/>
      <w:r w:rsidR="00860240">
        <w:t>94</w:t>
      </w:r>
    </w:p>
    <w:p w14:paraId="472A13F7" w14:textId="77777777" w:rsidR="001B6929" w:rsidRPr="00B756D1" w:rsidRDefault="001B6929" w:rsidP="001B6929">
      <w:pPr>
        <w:pStyle w:val="ATHeading2"/>
      </w:pPr>
      <w:bookmarkStart w:id="1" w:name="title"/>
      <w:r w:rsidRPr="00B756D1">
        <w:t>Zwalczanie korupcji</w:t>
      </w:r>
      <w:bookmarkEnd w:id="1"/>
    </w:p>
    <w:p w14:paraId="344CD8A7" w14:textId="2D47635C" w:rsidR="001B6929" w:rsidRPr="00B756D1" w:rsidRDefault="001B6929" w:rsidP="001B6929">
      <w:pPr>
        <w:rPr>
          <w:i/>
          <w:vanish/>
        </w:rPr>
      </w:pPr>
      <w:r w:rsidRPr="00B756D1">
        <w:rPr>
          <w:i/>
        </w:rPr>
        <w:fldChar w:fldCharType="begin"/>
      </w:r>
      <w:r w:rsidRPr="00B756D1">
        <w:rPr>
          <w:i/>
        </w:rPr>
        <w:instrText xml:space="preserve"> TC"(</w:instrText>
      </w:r>
      <w:bookmarkStart w:id="2" w:name="DocNumber"/>
      <w:r w:rsidRPr="00B756D1">
        <w:rPr>
          <w:i/>
        </w:rPr>
        <w:instrText>A9-0048/2024</w:instrText>
      </w:r>
      <w:bookmarkEnd w:id="2"/>
      <w:r w:rsidRPr="00B756D1">
        <w:rPr>
          <w:i/>
        </w:rPr>
        <w:instrText xml:space="preserve"> - Sprawozdawca</w:instrText>
      </w:r>
      <w:r w:rsidRPr="001D7B24">
        <w:rPr>
          <w:i/>
        </w:rPr>
        <w:instrText xml:space="preserve">: </w:instrText>
      </w:r>
      <w:r w:rsidR="001D7B24" w:rsidRPr="001D7B24">
        <w:rPr>
          <w:i/>
        </w:rPr>
        <w:instrText xml:space="preserve">Raquel </w:instrText>
      </w:r>
      <w:proofErr w:type="spellStart"/>
      <w:r w:rsidR="001D7B24" w:rsidRPr="001D7B24">
        <w:rPr>
          <w:i/>
        </w:rPr>
        <w:instrText>García</w:instrText>
      </w:r>
      <w:proofErr w:type="spellEnd"/>
      <w:r w:rsidR="001D7B24" w:rsidRPr="001D7B24">
        <w:rPr>
          <w:i/>
        </w:rPr>
        <w:instrText xml:space="preserve"> </w:instrText>
      </w:r>
      <w:proofErr w:type="spellStart"/>
      <w:r w:rsidR="001D7B24" w:rsidRPr="001D7B24">
        <w:rPr>
          <w:i/>
        </w:rPr>
        <w:instrText>Hermida</w:instrText>
      </w:r>
      <w:proofErr w:type="spellEnd"/>
      <w:r w:rsidR="001D7B24" w:rsidRPr="001D7B24">
        <w:rPr>
          <w:i/>
        </w:rPr>
        <w:instrText xml:space="preserve">-Van Der </w:instrText>
      </w:r>
      <w:proofErr w:type="spellStart"/>
      <w:r w:rsidR="001D7B24" w:rsidRPr="001D7B24">
        <w:rPr>
          <w:i/>
        </w:rPr>
        <w:instrText>Walle</w:instrText>
      </w:r>
      <w:proofErr w:type="spellEnd"/>
      <w:r w:rsidRPr="00B756D1">
        <w:rPr>
          <w:i/>
        </w:rPr>
        <w:instrText xml:space="preserve">)"\l3 \n&gt; \* MERGEFORMAT </w:instrText>
      </w:r>
      <w:r w:rsidRPr="00B756D1">
        <w:rPr>
          <w:i/>
        </w:rPr>
        <w:fldChar w:fldCharType="end"/>
      </w:r>
    </w:p>
    <w:p w14:paraId="0320440E" w14:textId="77777777" w:rsidR="001B6929" w:rsidRPr="00B756D1" w:rsidRDefault="001B6929" w:rsidP="001B6929">
      <w:pPr>
        <w:rPr>
          <w:vanish/>
        </w:rPr>
      </w:pPr>
      <w:bookmarkStart w:id="3" w:name="Commission"/>
      <w:r w:rsidRPr="00B756D1">
        <w:rPr>
          <w:vanish/>
        </w:rPr>
        <w:t>Komisja Wolności Obywatelskich, Sprawiedliwości i Spraw Wewnętrznych</w:t>
      </w:r>
      <w:bookmarkEnd w:id="3"/>
    </w:p>
    <w:p w14:paraId="07DF8835" w14:textId="77777777" w:rsidR="001B6929" w:rsidRPr="00B756D1" w:rsidRDefault="001B6929" w:rsidP="001B6929">
      <w:pPr>
        <w:rPr>
          <w:vanish/>
        </w:rPr>
      </w:pPr>
      <w:bookmarkStart w:id="4" w:name="PE"/>
      <w:r w:rsidRPr="00B756D1">
        <w:rPr>
          <w:vanish/>
        </w:rPr>
        <w:t>PE753.573</w:t>
      </w:r>
      <w:bookmarkEnd w:id="4"/>
    </w:p>
    <w:p w14:paraId="257918CC" w14:textId="07694886" w:rsidR="001B6929" w:rsidRPr="00B756D1" w:rsidRDefault="001B6929" w:rsidP="001B6929">
      <w:pPr>
        <w:pStyle w:val="ATHeading3"/>
      </w:pPr>
      <w:bookmarkStart w:id="5" w:name="Sujet"/>
      <w:r w:rsidRPr="00B756D1">
        <w:t xml:space="preserve">Rezolucja ustawodawcza Parlamentu Europejskiego z dnia </w:t>
      </w:r>
      <w:r w:rsidR="00B248C9">
        <w:t>26 marca</w:t>
      </w:r>
      <w:r w:rsidRPr="00B756D1">
        <w:t xml:space="preserve"> 2026 r. w sprawie wniosku dotyczącego dyrektywy Parlamentu Europejskiego i Rady w sprawie zwalczania korupcji, zastępującej decyzję ramową Rady 2003/568/</w:t>
      </w:r>
      <w:proofErr w:type="spellStart"/>
      <w:r w:rsidRPr="00B756D1">
        <w:t>WSiSW</w:t>
      </w:r>
      <w:proofErr w:type="spellEnd"/>
      <w:r w:rsidRPr="00B756D1">
        <w:t xml:space="preserve"> oraz Konwencję w sprawie zwalczania korupcji urzędników Wspólnot Europejskich i urzędników państw członkowskich Unii Europejskiej oraz zmieniającej dyrektywę Parlamentu Europejskiego i Rady (UE) 2017/1371</w:t>
      </w:r>
      <w:bookmarkEnd w:id="5"/>
      <w:r w:rsidRPr="00B756D1">
        <w:t xml:space="preserve"> </w:t>
      </w:r>
      <w:bookmarkStart w:id="6" w:name="References"/>
      <w:r w:rsidRPr="00B756D1">
        <w:t>(COM(2023)0234 – C9-0162/2023 – 2023/0135(COD))</w:t>
      </w:r>
      <w:bookmarkEnd w:id="6"/>
    </w:p>
    <w:p w14:paraId="38FA2A2E" w14:textId="77777777" w:rsidR="00DE70D1" w:rsidRPr="00B756D1" w:rsidRDefault="00DE70D1" w:rsidP="00DE70D1">
      <w:pPr>
        <w:pStyle w:val="NormalBold"/>
      </w:pPr>
      <w:r w:rsidRPr="00B756D1">
        <w:t>(Zwykła procedura ustawodawcza: pierwsze czytanie)</w:t>
      </w:r>
    </w:p>
    <w:p w14:paraId="70310365" w14:textId="77777777" w:rsidR="00DE70D1" w:rsidRPr="00B756D1" w:rsidRDefault="00DE70D1" w:rsidP="00DE70D1">
      <w:pPr>
        <w:pStyle w:val="EPComma"/>
      </w:pPr>
      <w:r w:rsidRPr="00B756D1">
        <w:rPr>
          <w:i/>
        </w:rPr>
        <w:t>Parlament Europejski</w:t>
      </w:r>
      <w:r w:rsidRPr="00B756D1">
        <w:t>,</w:t>
      </w:r>
    </w:p>
    <w:p w14:paraId="235C2DFB" w14:textId="77777777" w:rsidR="00DE70D1" w:rsidRPr="00B756D1" w:rsidRDefault="00DE70D1" w:rsidP="00DE70D1">
      <w:pPr>
        <w:pStyle w:val="NormalHanging12a"/>
      </w:pPr>
      <w:r w:rsidRPr="00B756D1">
        <w:t>–</w:t>
      </w:r>
      <w:r w:rsidRPr="00B756D1">
        <w:tab/>
        <w:t>uwzględniając wniosek Komisji przedstawiony Parlamentowi Europejskiemu i Radzie (COM(2023)0234),</w:t>
      </w:r>
    </w:p>
    <w:p w14:paraId="225CCC6E" w14:textId="77777777" w:rsidR="00DE70D1" w:rsidRPr="00B756D1" w:rsidRDefault="00DE70D1" w:rsidP="00DE70D1">
      <w:pPr>
        <w:pStyle w:val="NormalHanging12a"/>
      </w:pPr>
      <w:r w:rsidRPr="00B756D1">
        <w:t>–</w:t>
      </w:r>
      <w:r w:rsidRPr="00B756D1">
        <w:tab/>
        <w:t>uwzględniając art. 294 ust. 2 i art. 82 ust. 1 lit. d) oraz art. 83 ust. 1 i 2 Traktatu o funkcjonowaniu Unii Europejskiej, zgodnie z którymi wniosek został przedstawiony Parlamentowi przez Komisję (C9-0162/2023),</w:t>
      </w:r>
    </w:p>
    <w:p w14:paraId="5D1B4E0F" w14:textId="77777777" w:rsidR="00DE70D1" w:rsidRPr="00B756D1" w:rsidRDefault="00DE70D1" w:rsidP="00DE70D1">
      <w:pPr>
        <w:pStyle w:val="NormalHanging12a"/>
      </w:pPr>
      <w:r w:rsidRPr="00B756D1">
        <w:t>–</w:t>
      </w:r>
      <w:r w:rsidRPr="00B756D1">
        <w:tab/>
        <w:t>uwzględniając art. 294 ust. 3 Traktatu o funkcjonowaniu Unii Europejskiej,</w:t>
      </w:r>
    </w:p>
    <w:p w14:paraId="7B8E74D4" w14:textId="77777777" w:rsidR="00DE70D1" w:rsidRDefault="00DE70D1" w:rsidP="00DE70D1">
      <w:pPr>
        <w:pStyle w:val="NormalHanging12a"/>
      </w:pPr>
      <w:r w:rsidRPr="00B756D1">
        <w:t>–</w:t>
      </w:r>
      <w:r w:rsidRPr="00B756D1">
        <w:tab/>
        <w:t xml:space="preserve">uwzględniając uzasadnione opinie przedstawione przez parlament Szwecji </w:t>
      </w:r>
      <w:r w:rsidRPr="00B248C9">
        <w:t>oraz włoską Izbę Deputowanych</w:t>
      </w:r>
      <w:r w:rsidRPr="00B756D1">
        <w:t xml:space="preserve"> w ramach Protokołu nr 2 w sprawie stosowania zasad pomocniczości i proporcjonalności, zawierające stwierdzenie, że projekt aktu ustawodawczego nie jest zgodny z zasadą pomocniczości,</w:t>
      </w:r>
    </w:p>
    <w:p w14:paraId="217BFAE4" w14:textId="43E94C8D" w:rsidR="00B248C9" w:rsidRDefault="00B248C9" w:rsidP="00B248C9">
      <w:pPr>
        <w:pStyle w:val="Normal12Hanging"/>
        <w:ind w:left="567" w:hanging="567"/>
      </w:pPr>
      <w:r w:rsidRPr="007D3C95">
        <w:t>–</w:t>
      </w:r>
      <w:r>
        <w:tab/>
        <w:t>u</w:t>
      </w:r>
      <w:r w:rsidRPr="00DF4082">
        <w:t>względniając opinię Europejskiego Komitetu Ekonomiczno-Społecznego</w:t>
      </w:r>
      <w:r w:rsidR="00C21887">
        <w:t xml:space="preserve"> z dnia 25 października 2023 r.</w:t>
      </w:r>
      <w:r w:rsidRPr="003C424D">
        <w:rPr>
          <w:rStyle w:val="FootnoteReference"/>
        </w:rPr>
        <w:footnoteReference w:id="1"/>
      </w:r>
      <w:r w:rsidR="00C21887">
        <w:t>,</w:t>
      </w:r>
    </w:p>
    <w:p w14:paraId="3F1D140E" w14:textId="77777777" w:rsidR="00E55EA4" w:rsidRDefault="00B248C9" w:rsidP="00B248C9">
      <w:pPr>
        <w:pStyle w:val="Normal12Hanging"/>
        <w:ind w:left="567" w:hanging="567"/>
      </w:pPr>
      <w:r w:rsidRPr="00505EFD">
        <w:t>–</w:t>
      </w:r>
      <w:r w:rsidRPr="00505EFD">
        <w:tab/>
        <w:t>uwzględniając opinię Komitetu Regionów</w:t>
      </w:r>
      <w:r w:rsidR="00C21887">
        <w:t xml:space="preserve"> z dnia 29 listopada 2023 r.</w:t>
      </w:r>
      <w:r w:rsidRPr="003C424D">
        <w:rPr>
          <w:rStyle w:val="FootnoteReference"/>
        </w:rPr>
        <w:footnoteReference w:id="2"/>
      </w:r>
      <w:r>
        <w:t>,</w:t>
      </w:r>
      <w:bookmarkStart w:id="7" w:name="_Hlk208309836"/>
    </w:p>
    <w:p w14:paraId="7B6B1C77" w14:textId="7A02239C" w:rsidR="00B248C9" w:rsidRDefault="00B248C9" w:rsidP="00B248C9">
      <w:pPr>
        <w:pStyle w:val="Normal12Hanging"/>
        <w:ind w:left="567" w:hanging="567"/>
      </w:pPr>
      <w:r w:rsidRPr="0090212C">
        <w:lastRenderedPageBreak/>
        <w:t>–</w:t>
      </w:r>
      <w:r w:rsidRPr="0090212C">
        <w:tab/>
      </w:r>
      <w:bookmarkStart w:id="8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10 grudnia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8"/>
    </w:p>
    <w:bookmarkEnd w:id="7"/>
    <w:p w14:paraId="2324F1FD" w14:textId="78E7A551" w:rsidR="00DE70D1" w:rsidRPr="00B756D1" w:rsidRDefault="00DE70D1" w:rsidP="00DE70D1">
      <w:pPr>
        <w:pStyle w:val="NormalHanging12a"/>
      </w:pPr>
      <w:r w:rsidRPr="00B756D1">
        <w:t>–</w:t>
      </w:r>
      <w:r w:rsidRPr="00B756D1">
        <w:tab/>
        <w:t xml:space="preserve">uwzględniając art. </w:t>
      </w:r>
      <w:r w:rsidR="00B248C9">
        <w:t>60</w:t>
      </w:r>
      <w:r w:rsidR="00B248C9" w:rsidRPr="00B756D1">
        <w:t xml:space="preserve"> </w:t>
      </w:r>
      <w:r w:rsidRPr="00B756D1">
        <w:t>Regulaminu,</w:t>
      </w:r>
    </w:p>
    <w:p w14:paraId="5B642BE2" w14:textId="77777777" w:rsidR="00DE70D1" w:rsidRPr="00B756D1" w:rsidRDefault="00DE70D1" w:rsidP="00DE70D1">
      <w:pPr>
        <w:pStyle w:val="NormalHanging12a"/>
      </w:pPr>
      <w:r w:rsidRPr="00B756D1">
        <w:t>–</w:t>
      </w:r>
      <w:r w:rsidRPr="00B756D1">
        <w:tab/>
        <w:t>uwzględniając opinię przedstawioną przez Komisję Kontroli Budżetowej,</w:t>
      </w:r>
    </w:p>
    <w:p w14:paraId="2CF4670D" w14:textId="77777777" w:rsidR="00DE70D1" w:rsidRPr="00B756D1" w:rsidRDefault="00DE70D1" w:rsidP="00DE70D1">
      <w:pPr>
        <w:pStyle w:val="NormalHanging12a"/>
      </w:pPr>
      <w:r w:rsidRPr="00B756D1">
        <w:t>–</w:t>
      </w:r>
      <w:r w:rsidRPr="00B756D1">
        <w:tab/>
        <w:t>uwzględniając sprawozdanie Komisji Wolności Obywatelskich, Sprawiedliwości i Spraw Wewnętrznych (A9-0048/2024),</w:t>
      </w:r>
    </w:p>
    <w:p w14:paraId="3722316B" w14:textId="77777777" w:rsidR="00DE70D1" w:rsidRPr="00B756D1" w:rsidRDefault="00DE70D1" w:rsidP="00DE70D1">
      <w:pPr>
        <w:pStyle w:val="NormalHanging12a"/>
      </w:pPr>
      <w:r w:rsidRPr="00B756D1">
        <w:t>1.</w:t>
      </w:r>
      <w:r w:rsidRPr="00B756D1">
        <w:tab/>
        <w:t xml:space="preserve">przyjmuje poniższe stanowisko w pierwszym czytaniu; </w:t>
      </w:r>
    </w:p>
    <w:p w14:paraId="35CEAB97" w14:textId="77777777" w:rsidR="00DE70D1" w:rsidRPr="00B756D1" w:rsidRDefault="00DE70D1" w:rsidP="00DE70D1">
      <w:pPr>
        <w:pStyle w:val="NormalHanging12a"/>
      </w:pPr>
      <w:r w:rsidRPr="00B756D1">
        <w:t>2.</w:t>
      </w:r>
      <w:r w:rsidRPr="00B756D1">
        <w:tab/>
        <w:t>zwraca się do Komisji o ponowne przekazanie mu sprawy, jeśli zastąpi ona pierwotny wniosek, wprowadzi w nim istotne zmiany lub planuje ich wprowadzenie;</w:t>
      </w:r>
    </w:p>
    <w:p w14:paraId="549991E7" w14:textId="77777777" w:rsidR="00DE70D1" w:rsidRPr="00B756D1" w:rsidRDefault="00DE70D1" w:rsidP="00DE70D1">
      <w:pPr>
        <w:pStyle w:val="NormalHanging12a"/>
      </w:pPr>
      <w:r w:rsidRPr="00B756D1">
        <w:t>3.</w:t>
      </w:r>
      <w:r w:rsidRPr="00B756D1">
        <w:tab/>
        <w:t>zobowiązuje swoją przewodniczącą do przekazania stanowiska Parlamentu Radzie i Komisji, a także parlamentom narodowym.</w:t>
      </w:r>
    </w:p>
    <w:p w14:paraId="6686EE6B" w14:textId="77777777" w:rsidR="001D7B24" w:rsidRDefault="001D7B24" w:rsidP="00DE70D1">
      <w:pPr>
        <w:sectPr w:rsidR="001D7B24" w:rsidSect="00B756D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E2087CE" w14:textId="77777777" w:rsidR="001D7B24" w:rsidRPr="00860240" w:rsidRDefault="001D7B24" w:rsidP="001D7B2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60240">
        <w:rPr>
          <w:rFonts w:eastAsia="Calibri"/>
          <w:b/>
          <w:bCs/>
          <w:color w:val="000000"/>
          <w:szCs w:val="24"/>
        </w:rPr>
        <w:lastRenderedPageBreak/>
        <w:t>P10_TC1-COD(2023)0135</w:t>
      </w:r>
    </w:p>
    <w:p w14:paraId="3106B285" w14:textId="20CBBD45" w:rsidR="001D7B24" w:rsidRDefault="001D7B24" w:rsidP="001D7B24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26 marca 2026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>(UE) 202</w:t>
      </w:r>
      <w:r w:rsidR="00860240">
        <w:rPr>
          <w:b/>
        </w:rPr>
        <w:t>6</w:t>
      </w:r>
      <w:r>
        <w:rPr>
          <w:b/>
        </w:rPr>
        <w:t xml:space="preserve">/... </w:t>
      </w:r>
      <w:r w:rsidRPr="001D7B24">
        <w:rPr>
          <w:rFonts w:eastAsia="Calibri"/>
          <w:b/>
          <w:szCs w:val="22"/>
          <w:lang w:eastAsia="en-US"/>
        </w:rPr>
        <w:t>w sprawie zwalczania korupcji, zastępując</w:t>
      </w:r>
      <w:r>
        <w:rPr>
          <w:rFonts w:eastAsia="Calibri"/>
          <w:b/>
          <w:szCs w:val="22"/>
          <w:lang w:eastAsia="en-US"/>
        </w:rPr>
        <w:t>ej</w:t>
      </w:r>
      <w:r w:rsidRPr="001D7B24">
        <w:rPr>
          <w:rFonts w:eastAsia="Calibri"/>
          <w:b/>
          <w:szCs w:val="22"/>
          <w:lang w:eastAsia="en-US"/>
        </w:rPr>
        <w:t xml:space="preserve"> decyzję ramową Rady 2003/568/</w:t>
      </w:r>
      <w:proofErr w:type="spellStart"/>
      <w:r w:rsidRPr="001D7B24">
        <w:rPr>
          <w:rFonts w:eastAsia="Calibri"/>
          <w:b/>
          <w:szCs w:val="22"/>
          <w:lang w:eastAsia="en-US"/>
        </w:rPr>
        <w:t>WSiSW</w:t>
      </w:r>
      <w:proofErr w:type="spellEnd"/>
      <w:r w:rsidRPr="001D7B24">
        <w:rPr>
          <w:rFonts w:eastAsia="Calibri"/>
          <w:b/>
          <w:szCs w:val="22"/>
          <w:lang w:eastAsia="en-US"/>
        </w:rPr>
        <w:t xml:space="preserve"> oraz Konwencję w sprawie zwalczania korupcji urzędników Wspólnot Europejskich i urzędników państw członkowskich Unii Europejskiej oraz zmieniając</w:t>
      </w:r>
      <w:r>
        <w:rPr>
          <w:rFonts w:eastAsia="Calibri"/>
          <w:b/>
          <w:szCs w:val="22"/>
          <w:lang w:eastAsia="en-US"/>
        </w:rPr>
        <w:t>ej</w:t>
      </w:r>
      <w:r w:rsidRPr="001D7B24">
        <w:rPr>
          <w:rFonts w:eastAsia="Calibri"/>
          <w:b/>
          <w:szCs w:val="22"/>
          <w:lang w:eastAsia="en-US"/>
        </w:rPr>
        <w:t xml:space="preserve"> dyrektywę Parlamentu Europejskiego i Rady (UE) 2017/1371</w:t>
      </w:r>
    </w:p>
    <w:p w14:paraId="22EEC964" w14:textId="77777777" w:rsidR="00402F71" w:rsidRDefault="00402F71" w:rsidP="001D7B24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</w:p>
    <w:p w14:paraId="41C7F0BC" w14:textId="070EEC2A" w:rsidR="00402F71" w:rsidRPr="00402F71" w:rsidRDefault="00402F71" w:rsidP="00402F71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dyrektywy (UE) 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1021</w:t>
      </w:r>
      <w:r>
        <w:rPr>
          <w:i/>
        </w:rPr>
        <w:t>.)</w:t>
      </w:r>
    </w:p>
    <w:p w14:paraId="4128DC95" w14:textId="77777777" w:rsidR="00402F71" w:rsidRPr="001D7B24" w:rsidRDefault="00402F71" w:rsidP="001D7B24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</w:p>
    <w:sectPr w:rsidR="00402F71" w:rsidRPr="001D7B24" w:rsidSect="00B756D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13DB6" w14:textId="77777777" w:rsidR="001B6929" w:rsidRPr="00B756D1" w:rsidRDefault="001B6929">
      <w:r w:rsidRPr="00B756D1">
        <w:separator/>
      </w:r>
    </w:p>
  </w:endnote>
  <w:endnote w:type="continuationSeparator" w:id="0">
    <w:p w14:paraId="11B8F945" w14:textId="77777777" w:rsidR="001B6929" w:rsidRPr="00B756D1" w:rsidRDefault="001B6929">
      <w:r w:rsidRPr="00B756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1B580" w14:textId="77777777" w:rsidR="00064002" w:rsidRPr="00B756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83221" w14:textId="77777777" w:rsidR="00064002" w:rsidRPr="00B756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2D76" w14:textId="77777777" w:rsidR="00064002" w:rsidRPr="00B756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220AD" w14:textId="77777777" w:rsidR="001B6929" w:rsidRPr="00B756D1" w:rsidRDefault="001B6929">
      <w:r w:rsidRPr="00B756D1">
        <w:separator/>
      </w:r>
    </w:p>
  </w:footnote>
  <w:footnote w:type="continuationSeparator" w:id="0">
    <w:p w14:paraId="47DA8855" w14:textId="77777777" w:rsidR="001B6929" w:rsidRPr="00B756D1" w:rsidRDefault="001B6929">
      <w:r w:rsidRPr="00B756D1">
        <w:continuationSeparator/>
      </w:r>
    </w:p>
  </w:footnote>
  <w:footnote w:id="1">
    <w:p w14:paraId="5EFA6F94" w14:textId="61FCE715" w:rsidR="00B248C9" w:rsidRPr="00535500" w:rsidRDefault="00B248C9" w:rsidP="00B248C9">
      <w:pPr>
        <w:pStyle w:val="FootnoteText"/>
        <w:rPr>
          <w:lang w:val="fi-FI"/>
        </w:rPr>
      </w:pPr>
      <w:r w:rsidRPr="003C424D">
        <w:rPr>
          <w:rStyle w:val="FootnoteReference"/>
        </w:rPr>
        <w:footnoteRef/>
      </w:r>
      <w:r w:rsidRPr="00535500">
        <w:rPr>
          <w:lang w:val="fi-FI"/>
        </w:rPr>
        <w:t xml:space="preserve"> </w:t>
      </w:r>
      <w:r w:rsidRPr="00535500">
        <w:rPr>
          <w:lang w:val="fi-FI"/>
        </w:rPr>
        <w:tab/>
      </w:r>
      <w:proofErr w:type="spellStart"/>
      <w:r>
        <w:rPr>
          <w:lang w:val="fi-FI"/>
        </w:rPr>
        <w:t>Dz.U</w:t>
      </w:r>
      <w:proofErr w:type="spellEnd"/>
      <w:r>
        <w:rPr>
          <w:lang w:val="fi-FI"/>
        </w:rPr>
        <w:t>.</w:t>
      </w:r>
      <w:r w:rsidRPr="00535500">
        <w:rPr>
          <w:lang w:val="fi-FI"/>
        </w:rPr>
        <w:t xml:space="preserve"> C, C/2024/886, 6.2.2024, ELI: </w:t>
      </w:r>
      <w:r w:rsidR="001D7B24">
        <w:fldChar w:fldCharType="begin"/>
      </w:r>
      <w:r w:rsidR="001D7B24" w:rsidRPr="00402F71">
        <w:rPr>
          <w:lang w:val="fi-FI"/>
        </w:rPr>
        <w:instrText>HYPERLINK "http://data.europa.eu/eli/C/2024/886/oj"</w:instrText>
      </w:r>
      <w:r w:rsidR="001D7B24">
        <w:fldChar w:fldCharType="separate"/>
      </w:r>
      <w:r w:rsidR="001D7B24">
        <w:rPr>
          <w:rStyle w:val="Hyperlink"/>
          <w:lang w:val="fi-FI"/>
        </w:rPr>
        <w:t>http://data.europa.eu/eli/C/2024/886/oj</w:t>
      </w:r>
      <w:r w:rsidR="001D7B24">
        <w:fldChar w:fldCharType="end"/>
      </w:r>
      <w:r w:rsidRPr="00535500">
        <w:rPr>
          <w:lang w:val="fi-FI"/>
        </w:rPr>
        <w:t>.</w:t>
      </w:r>
    </w:p>
  </w:footnote>
  <w:footnote w:id="2">
    <w:p w14:paraId="0D3F5005" w14:textId="4EFE77BC" w:rsidR="00B248C9" w:rsidRPr="00535500" w:rsidRDefault="00B248C9" w:rsidP="00B248C9">
      <w:pPr>
        <w:pStyle w:val="FootnoteText"/>
        <w:rPr>
          <w:lang w:val="fi-FI"/>
        </w:rPr>
      </w:pPr>
      <w:r w:rsidRPr="003C424D">
        <w:rPr>
          <w:rStyle w:val="FootnoteReference"/>
        </w:rPr>
        <w:footnoteRef/>
      </w:r>
      <w:r w:rsidRPr="00535500">
        <w:rPr>
          <w:lang w:val="fi-FI"/>
        </w:rPr>
        <w:t xml:space="preserve"> </w:t>
      </w:r>
      <w:r w:rsidRPr="00535500">
        <w:rPr>
          <w:lang w:val="fi-FI"/>
        </w:rPr>
        <w:tab/>
      </w:r>
      <w:proofErr w:type="spellStart"/>
      <w:r>
        <w:rPr>
          <w:lang w:val="fi-FI"/>
        </w:rPr>
        <w:t>Dz.U</w:t>
      </w:r>
      <w:proofErr w:type="spellEnd"/>
      <w:r w:rsidR="00E55EA4">
        <w:rPr>
          <w:lang w:val="fi-FI"/>
        </w:rPr>
        <w:t>.</w:t>
      </w:r>
      <w:r w:rsidRPr="00535500">
        <w:rPr>
          <w:lang w:val="fi-FI"/>
        </w:rPr>
        <w:t xml:space="preserve"> C</w:t>
      </w:r>
      <w:r w:rsidR="00E55EA4">
        <w:rPr>
          <w:lang w:val="fi-FI"/>
        </w:rPr>
        <w:t>, C</w:t>
      </w:r>
      <w:r w:rsidRPr="00535500">
        <w:rPr>
          <w:lang w:val="fi-FI"/>
        </w:rPr>
        <w:t xml:space="preserve">/2024/1048, 9.2.2024, ELI: </w:t>
      </w:r>
      <w:r w:rsidR="001D7B24">
        <w:fldChar w:fldCharType="begin"/>
      </w:r>
      <w:r w:rsidR="001D7B24" w:rsidRPr="00402F71">
        <w:rPr>
          <w:lang w:val="fi-FI"/>
        </w:rPr>
        <w:instrText>HYPERLINK "http://data.europa.eu/eli/C/2024/1048/oj"</w:instrText>
      </w:r>
      <w:r w:rsidR="001D7B24">
        <w:fldChar w:fldCharType="separate"/>
      </w:r>
      <w:r w:rsidR="001D7B24">
        <w:rPr>
          <w:rStyle w:val="Hyperlink"/>
          <w:lang w:val="fi-FI"/>
        </w:rPr>
        <w:t>http://data.europa.eu/eli/C/2024/1048/oj</w:t>
      </w:r>
      <w:r w:rsidR="001D7B24">
        <w:fldChar w:fldCharType="end"/>
      </w:r>
      <w:r w:rsidRPr="00535500">
        <w:rPr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1A4F5" w14:textId="77777777" w:rsidR="00064002" w:rsidRPr="00B756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8187A" w14:textId="77777777" w:rsidR="00064002" w:rsidRPr="00B756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AE652" w14:textId="77777777" w:rsidR="00064002" w:rsidRPr="00B756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802696761">
    <w:abstractNumId w:val="2"/>
  </w:num>
  <w:num w:numId="2" w16cid:durableId="2015918077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PL"/>
    <w:docVar w:name="dvnumam" w:val="0"/>
    <w:docVar w:name="dvpe" w:val="753.573"/>
    <w:docVar w:name="dvrapporteur" w:val="Sprawozdawca: "/>
    <w:docVar w:name="dvstar" w:val="***I"/>
    <w:docVar w:name="dvtitre" w:val="Rezolucja ustawodawcza Parlamentu Europejskiego z dnia  2026 r. w sprawie wniosku dotyczącego dyrektywy Parlamentu Europejskiego i Rady w sprawie zwalczania korupcji, zastępującej decyzję ramową Rady 2003/568/WSiSW oraz Konwencję w sprawie zwalczania korupcji urzędników Wspólnot Europejskich i urzędników państw członkowskich Unii Europejskiej oraz zmieniającej dyrektywę Parlamentu Europejskiego i Rady (UE) 2017/1371(COM(2023)0234 – C9-0162/2023 – 2023/0135(COD))"/>
  </w:docVars>
  <w:rsids>
    <w:rsidRoot w:val="001B6929"/>
    <w:rsid w:val="00002272"/>
    <w:rsid w:val="000349BD"/>
    <w:rsid w:val="000558EF"/>
    <w:rsid w:val="00064002"/>
    <w:rsid w:val="000677B9"/>
    <w:rsid w:val="000831BA"/>
    <w:rsid w:val="000A42CC"/>
    <w:rsid w:val="000E7DD9"/>
    <w:rsid w:val="0010095E"/>
    <w:rsid w:val="00125B37"/>
    <w:rsid w:val="00187494"/>
    <w:rsid w:val="001B6929"/>
    <w:rsid w:val="001D7B24"/>
    <w:rsid w:val="001F32AE"/>
    <w:rsid w:val="002767FF"/>
    <w:rsid w:val="002B18FE"/>
    <w:rsid w:val="002B5493"/>
    <w:rsid w:val="00343214"/>
    <w:rsid w:val="00361C00"/>
    <w:rsid w:val="00395FA1"/>
    <w:rsid w:val="003E15D4"/>
    <w:rsid w:val="00402F7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240"/>
    <w:rsid w:val="00865F67"/>
    <w:rsid w:val="00881A7B"/>
    <w:rsid w:val="008840E5"/>
    <w:rsid w:val="00887B3E"/>
    <w:rsid w:val="008A2411"/>
    <w:rsid w:val="008C2AC6"/>
    <w:rsid w:val="0090672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8C9"/>
    <w:rsid w:val="00B558F0"/>
    <w:rsid w:val="00B756D1"/>
    <w:rsid w:val="00BD48FE"/>
    <w:rsid w:val="00BD7BD8"/>
    <w:rsid w:val="00BE6ADC"/>
    <w:rsid w:val="00C05BFE"/>
    <w:rsid w:val="00C21887"/>
    <w:rsid w:val="00C23CD4"/>
    <w:rsid w:val="00C33C1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D7D"/>
    <w:rsid w:val="00DE70D1"/>
    <w:rsid w:val="00DF4152"/>
    <w:rsid w:val="00E365E1"/>
    <w:rsid w:val="00E377E1"/>
    <w:rsid w:val="00E55EA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5A09A"/>
  <w15:chartTrackingRefBased/>
  <w15:docId w15:val="{5E2CFB28-7E8C-47D8-9261-B505BC0B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E70D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E70D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E70D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DE70D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0D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0D1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0D1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0D1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0D1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DE70D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E70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E70D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E70D1"/>
    <w:pPr>
      <w:spacing w:after="120"/>
    </w:pPr>
  </w:style>
  <w:style w:type="paragraph" w:customStyle="1" w:styleId="PageHeading">
    <w:name w:val="PageHeading"/>
    <w:basedOn w:val="Normal"/>
    <w:rsid w:val="00DE70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E70D1"/>
    <w:rPr>
      <w:b/>
    </w:rPr>
  </w:style>
  <w:style w:type="paragraph" w:customStyle="1" w:styleId="NormalBold12a">
    <w:name w:val="NormalBold12a"/>
    <w:basedOn w:val="Normal"/>
    <w:rsid w:val="00DE70D1"/>
    <w:pPr>
      <w:spacing w:after="240"/>
    </w:pPr>
    <w:rPr>
      <w:b/>
    </w:rPr>
  </w:style>
  <w:style w:type="paragraph" w:customStyle="1" w:styleId="AmJustText">
    <w:name w:val="AmJustText"/>
    <w:basedOn w:val="Normal"/>
    <w:rsid w:val="00DE70D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E70D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E70D1"/>
    <w:pPr>
      <w:spacing w:after="480"/>
      <w:ind w:left="1417"/>
    </w:pPr>
  </w:style>
  <w:style w:type="paragraph" w:customStyle="1" w:styleId="CoverNormal">
    <w:name w:val="CoverNormal"/>
    <w:basedOn w:val="Normal"/>
    <w:rsid w:val="00DE70D1"/>
    <w:pPr>
      <w:ind w:left="1418"/>
    </w:pPr>
  </w:style>
  <w:style w:type="paragraph" w:customStyle="1" w:styleId="AmCrossRef">
    <w:name w:val="AmCrossRef"/>
    <w:basedOn w:val="Normal"/>
    <w:rsid w:val="00DE70D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E70D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E70D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E70D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E70D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E70D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E70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0D1"/>
    <w:rPr>
      <w:sz w:val="24"/>
      <w:lang w:val="pl-PL"/>
    </w:rPr>
  </w:style>
  <w:style w:type="paragraph" w:customStyle="1" w:styleId="AmOrLang">
    <w:name w:val="AmOrLang"/>
    <w:basedOn w:val="Normal"/>
    <w:rsid w:val="00DE70D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E70D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E70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E70D1"/>
    <w:pPr>
      <w:spacing w:before="240"/>
    </w:pPr>
    <w:rPr>
      <w:b/>
    </w:rPr>
  </w:style>
  <w:style w:type="paragraph" w:customStyle="1" w:styleId="EPBody">
    <w:name w:val="EPBody"/>
    <w:basedOn w:val="Normal"/>
    <w:rsid w:val="00DE70D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E70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E70D1"/>
    <w:pPr>
      <w:spacing w:before="480" w:after="240"/>
    </w:pPr>
  </w:style>
  <w:style w:type="paragraph" w:customStyle="1" w:styleId="Lgendesigne">
    <w:name w:val="Légende signe"/>
    <w:basedOn w:val="Normal"/>
    <w:rsid w:val="00DE70D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E70D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E70D1"/>
    <w:rPr>
      <w:sz w:val="18"/>
    </w:rPr>
  </w:style>
  <w:style w:type="paragraph" w:customStyle="1" w:styleId="msonormal0">
    <w:name w:val="msonormal"/>
    <w:basedOn w:val="Normal"/>
    <w:rsid w:val="00DE70D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DE7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0D1"/>
    <w:rPr>
      <w:sz w:val="24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DE70D1"/>
    <w:rPr>
      <w:noProof/>
      <w:sz w:val="24"/>
    </w:rPr>
  </w:style>
  <w:style w:type="paragraph" w:customStyle="1" w:styleId="Normal12">
    <w:name w:val="Normal12"/>
    <w:basedOn w:val="Normal"/>
    <w:link w:val="Normal12Char"/>
    <w:rsid w:val="00DE70D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E70D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E70D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E70D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E70D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E70D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E70D1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DE70D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E70D1"/>
    <w:rPr>
      <w:b/>
      <w:sz w:val="24"/>
      <w:lang w:val="pl-PL"/>
    </w:rPr>
  </w:style>
  <w:style w:type="paragraph" w:customStyle="1" w:styleId="Normal12Italic">
    <w:name w:val="Normal12Italic"/>
    <w:basedOn w:val="Normal12"/>
    <w:rsid w:val="00DE70D1"/>
    <w:rPr>
      <w:i/>
    </w:rPr>
  </w:style>
  <w:style w:type="paragraph" w:customStyle="1" w:styleId="JustificationTitle">
    <w:name w:val="JustificationTitle"/>
    <w:basedOn w:val="Normal"/>
    <w:next w:val="Normal12"/>
    <w:rsid w:val="00DE70D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E70D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E70D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E70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E70D1"/>
    <w:pPr>
      <w:spacing w:before="240"/>
      <w:jc w:val="center"/>
    </w:pPr>
    <w:rPr>
      <w:i/>
    </w:rPr>
  </w:style>
  <w:style w:type="character" w:customStyle="1" w:styleId="Footer2Middle">
    <w:name w:val="Footer2Middle"/>
    <w:rsid w:val="00DE70D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E70D1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DE70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E70D1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DE70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70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70D1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E70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E70D1"/>
    <w:rPr>
      <w:b/>
      <w:bCs/>
      <w:lang w:val="pl-PL"/>
    </w:rPr>
  </w:style>
  <w:style w:type="paragraph" w:customStyle="1" w:styleId="Normal1">
    <w:name w:val="Normal1"/>
    <w:basedOn w:val="Normal"/>
    <w:rsid w:val="00DE70D1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DE70D1"/>
    <w:rPr>
      <w:sz w:val="24"/>
      <w:lang w:val="pl-PL"/>
    </w:rPr>
  </w:style>
  <w:style w:type="character" w:customStyle="1" w:styleId="AmNumberTabsChar">
    <w:name w:val="AmNumberTabs Char"/>
    <w:basedOn w:val="DefaultParagraphFont"/>
    <w:link w:val="AmNumberTabs"/>
    <w:rsid w:val="00DE70D1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DE70D1"/>
    <w:rPr>
      <w:b/>
      <w:sz w:val="24"/>
      <w:lang w:val="pl-PL"/>
    </w:rPr>
  </w:style>
  <w:style w:type="paragraph" w:customStyle="1" w:styleId="Normal24a">
    <w:name w:val="Normal24a"/>
    <w:basedOn w:val="Normal"/>
    <w:rsid w:val="00DE70D1"/>
    <w:pPr>
      <w:spacing w:after="480"/>
    </w:pPr>
  </w:style>
  <w:style w:type="paragraph" w:customStyle="1" w:styleId="NormalBoldCenter">
    <w:name w:val="NormalBoldCenter"/>
    <w:basedOn w:val="Normal"/>
    <w:rsid w:val="00DE70D1"/>
    <w:pPr>
      <w:jc w:val="center"/>
    </w:pPr>
    <w:rPr>
      <w:b/>
    </w:rPr>
  </w:style>
  <w:style w:type="paragraph" w:customStyle="1" w:styleId="Normal12a">
    <w:name w:val="Normal12a"/>
    <w:basedOn w:val="Normal"/>
    <w:rsid w:val="00DE70D1"/>
    <w:pPr>
      <w:spacing w:after="240"/>
    </w:pPr>
  </w:style>
  <w:style w:type="paragraph" w:customStyle="1" w:styleId="PageHeadingNotTOC">
    <w:name w:val="PageHeadingNotTOC"/>
    <w:basedOn w:val="Normal"/>
    <w:rsid w:val="00DE70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E70D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DE70D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E70D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E70D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E70D1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DE70D1"/>
    <w:rPr>
      <w:color w:val="0563C1" w:themeColor="hyperlink"/>
      <w:u w:val="single"/>
    </w:rPr>
  </w:style>
  <w:style w:type="paragraph" w:customStyle="1" w:styleId="Normal12Hanging">
    <w:name w:val="Normal12Hanging"/>
    <w:basedOn w:val="Normal"/>
    <w:link w:val="Normal12HangingChar"/>
    <w:rsid w:val="00B248C9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B248C9"/>
    <w:rPr>
      <w:snapToGrid w:val="0"/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1D7B24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1D7B2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D7B24"/>
    <w:pPr>
      <w:spacing w:after="240"/>
      <w:jc w:val="center"/>
    </w:pPr>
  </w:style>
  <w:style w:type="paragraph" w:customStyle="1" w:styleId="AmDateTab">
    <w:name w:val="AmDateTab"/>
    <w:basedOn w:val="Normal"/>
    <w:rsid w:val="001D7B2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D7B2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D7B24"/>
  </w:style>
  <w:style w:type="paragraph" w:customStyle="1" w:styleId="NormalCentered">
    <w:name w:val="Normal Centered"/>
    <w:basedOn w:val="Normal"/>
    <w:rsid w:val="001D7B24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D7B24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1D7B2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D7B2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D7B2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D7B2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D7B2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D7B24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D7B2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D7B2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1D7B24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D7B24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D7B24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D7B24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D7B24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D7B24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1D7B2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D7B2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D7B2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D7B2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D7B2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D7B2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D7B2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D7B2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D7B2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D7B2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D7B24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D7B24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D7B24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D7B24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D7B24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D7B24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D7B24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D7B24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D7B24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D7B24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D7B24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D7B24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D7B24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D7B24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D7B24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D7B24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D7B24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D7B24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D7B24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D7B24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D7B24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D7B24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D7B24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D7B24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D7B24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1D7B24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1D7B24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1D7B24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1D7B24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1D7B2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D7B24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D7B2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D7B24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1D7B24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D7B24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1D7B24"/>
    <w:pPr>
      <w:jc w:val="center"/>
    </w:pPr>
  </w:style>
  <w:style w:type="paragraph" w:customStyle="1" w:styleId="Jardin">
    <w:name w:val="Jardin"/>
    <w:basedOn w:val="Normal"/>
    <w:rsid w:val="001D7B2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D7B2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D7B2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D7B2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D7B24"/>
    <w:rPr>
      <w:b/>
    </w:rPr>
  </w:style>
  <w:style w:type="paragraph" w:customStyle="1" w:styleId="Annex">
    <w:name w:val="Annex"/>
    <w:basedOn w:val="Normal"/>
    <w:next w:val="Normal"/>
    <w:rsid w:val="001D7B2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D7B2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D7B2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D7B2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D7B24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D7B24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D7B24"/>
    <w:rPr>
      <w:rFonts w:eastAsia="Calibr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1D7B24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1D7B24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1D7B24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D7B2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D7B2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1D7B24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1D7B24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1D7B24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1D7B2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D7B24"/>
    <w:rPr>
      <w:rFonts w:ascii="Arial" w:hAnsi="Arial" w:cs="Arial"/>
      <w:b/>
      <w:sz w:val="23"/>
      <w:u w:color="606060"/>
      <w:lang w:val="pl-PL" w:eastAsia="fr-BE"/>
    </w:rPr>
  </w:style>
  <w:style w:type="paragraph" w:customStyle="1" w:styleId="TBSubjectTable">
    <w:name w:val="TBSubjectTable"/>
    <w:basedOn w:val="TechnicalBlockBase"/>
    <w:rsid w:val="001D7B2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1D7B24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1D7B2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D7B24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1D7B24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paragraph" w:customStyle="1" w:styleId="HeaderCouncilLarge">
    <w:name w:val="Header Council Large"/>
    <w:basedOn w:val="Normal"/>
    <w:link w:val="HeaderCouncilLargeChar"/>
    <w:rsid w:val="001D7B24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1D7B24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pl-PL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1D7B24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pl-PL" w:eastAsia="fr-BE"/>
    </w:rPr>
  </w:style>
  <w:style w:type="paragraph" w:customStyle="1" w:styleId="FooterText">
    <w:name w:val="Footer Text"/>
    <w:basedOn w:val="Normal"/>
    <w:rsid w:val="001D7B2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D7B24"/>
    <w:rPr>
      <w:color w:val="808080"/>
    </w:rPr>
  </w:style>
  <w:style w:type="paragraph" w:customStyle="1" w:styleId="Title1">
    <w:name w:val="Title1"/>
    <w:basedOn w:val="Normal"/>
    <w:next w:val="Normal"/>
    <w:uiPriority w:val="10"/>
    <w:qFormat/>
    <w:rsid w:val="001D7B24"/>
    <w:pPr>
      <w:widowControl/>
      <w:spacing w:before="120" w:after="80" w:line="36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D7B24"/>
    <w:rPr>
      <w:rFonts w:ascii="Cambria" w:hAnsi="Cambria"/>
      <w:spacing w:val="-10"/>
      <w:kern w:val="28"/>
      <w:sz w:val="56"/>
      <w:szCs w:val="56"/>
      <w:lang w:val="pl-PL"/>
    </w:rPr>
  </w:style>
  <w:style w:type="paragraph" w:customStyle="1" w:styleId="Subtitle1">
    <w:name w:val="Subtitle1"/>
    <w:basedOn w:val="Normal"/>
    <w:next w:val="Normal"/>
    <w:uiPriority w:val="11"/>
    <w:qFormat/>
    <w:rsid w:val="001D7B24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D7B24"/>
    <w:rPr>
      <w:color w:val="595959"/>
      <w:spacing w:val="15"/>
      <w:kern w:val="2"/>
      <w:sz w:val="28"/>
      <w:szCs w:val="28"/>
      <w:lang w:val="pl-PL"/>
    </w:rPr>
  </w:style>
  <w:style w:type="paragraph" w:customStyle="1" w:styleId="Quote1">
    <w:name w:val="Quote1"/>
    <w:basedOn w:val="Normal"/>
    <w:next w:val="Normal"/>
    <w:uiPriority w:val="29"/>
    <w:qFormat/>
    <w:rsid w:val="001D7B24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D7B24"/>
    <w:rPr>
      <w:i/>
      <w:iCs/>
      <w:color w:val="404040"/>
      <w:kern w:val="2"/>
      <w:lang w:val="pl-PL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1D7B24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1D7B24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1D7B24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B24"/>
    <w:rPr>
      <w:i/>
      <w:iCs/>
      <w:color w:val="365F91"/>
      <w:kern w:val="2"/>
      <w:lang w:val="pl-PL"/>
    </w:rPr>
  </w:style>
  <w:style w:type="character" w:customStyle="1" w:styleId="IntenseReference1">
    <w:name w:val="Intense Reference1"/>
    <w:basedOn w:val="DefaultParagraphFont"/>
    <w:uiPriority w:val="32"/>
    <w:qFormat/>
    <w:rsid w:val="001D7B24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1D7B24"/>
    <w:rPr>
      <w:rFonts w:ascii="Arial" w:hAnsi="Arial" w:cs="Arial"/>
      <w:b/>
      <w:sz w:val="23"/>
      <w:u w:color="606060"/>
      <w:lang w:val="pl-PL" w:eastAsia="fr-BE"/>
    </w:rPr>
  </w:style>
  <w:style w:type="paragraph" w:customStyle="1" w:styleId="TBDistrbMarkers">
    <w:name w:val="TBDistrbMarkers"/>
    <w:basedOn w:val="TBEntRefer"/>
    <w:qFormat/>
    <w:rsid w:val="001D7B24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1D7B24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1D7B2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1D7B24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1D7B24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basedOn w:val="DefaultParagraphFont"/>
    <w:rsid w:val="001D7B24"/>
    <w:rPr>
      <w:rFonts w:ascii="Times New Roman" w:hAnsi="Times New Roman" w:cs="Times New Roman"/>
      <w:sz w:val="24"/>
      <w:lang w:val="pl-PL"/>
    </w:rPr>
  </w:style>
  <w:style w:type="paragraph" w:customStyle="1" w:styleId="title-bold">
    <w:name w:val="title-bold"/>
    <w:basedOn w:val="Normal"/>
    <w:rsid w:val="001D7B24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1D7B24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1D7B24"/>
    <w:rPr>
      <w:i/>
      <w:iCs/>
    </w:rPr>
  </w:style>
  <w:style w:type="paragraph" w:styleId="NoSpacing">
    <w:name w:val="No Spacing"/>
    <w:uiPriority w:val="1"/>
    <w:qFormat/>
    <w:rsid w:val="001D7B24"/>
    <w:rPr>
      <w:rFonts w:eastAsia="Calibri"/>
      <w:sz w:val="24"/>
      <w:szCs w:val="22"/>
      <w:lang w:val="pl-PL" w:eastAsia="en-US"/>
    </w:rPr>
  </w:style>
  <w:style w:type="paragraph" w:customStyle="1" w:styleId="Manual">
    <w:name w:val="Manual"/>
    <w:basedOn w:val="Normal"/>
    <w:rsid w:val="001D7B24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Accordtitre">
    <w:name w:val="Accord titre"/>
    <w:basedOn w:val="Normal"/>
    <w:rsid w:val="001D7B2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1D7B2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acte">
    <w:name w:val="Annexe titre (acte)"/>
    <w:basedOn w:val="Normal"/>
    <w:next w:val="Normal"/>
    <w:rsid w:val="001D7B2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D7B2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Normal"/>
    <w:rsid w:val="001D7B24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D7B24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D7B24"/>
    <w:pPr>
      <w:widowControl/>
      <w:numPr>
        <w:numId w:val="24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D7B24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Considrant">
    <w:name w:val="Considérant"/>
    <w:basedOn w:val="Normal"/>
    <w:rsid w:val="001D7B24"/>
    <w:pPr>
      <w:widowControl/>
      <w:numPr>
        <w:numId w:val="25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D7B2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D7B2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D7B2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D7B2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D7B2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D7B2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D7B2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D7B2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D7B2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D7B2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D7B2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D7B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D7B2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D7B2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D7B2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D7B2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D7B2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D7B2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D7B2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D7B2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D7B2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D7B2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1D7B2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1D7B2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1D7B2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D7B2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D7B2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D7B2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EntACP">
    <w:name w:val="EntACP"/>
    <w:basedOn w:val="Normal"/>
    <w:rsid w:val="001D7B2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ASSOC">
    <w:name w:val="EntASSOC"/>
    <w:basedOn w:val="Normal"/>
    <w:rsid w:val="001D7B2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D7B2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D7B2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Instit">
    <w:name w:val="EntInstit"/>
    <w:basedOn w:val="Normal"/>
    <w:rsid w:val="001D7B2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InstitACP">
    <w:name w:val="EntInstitACP"/>
    <w:basedOn w:val="Normal"/>
    <w:rsid w:val="001D7B2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1D7B2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D7B24"/>
    <w:pPr>
      <w:widowControl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1D7B2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1D7B24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D7B2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D7B2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1D7B24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D7B24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1D7B24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1D7B24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D7B2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D7B24"/>
    <w:pPr>
      <w:spacing w:after="240"/>
    </w:pPr>
  </w:style>
  <w:style w:type="paragraph" w:customStyle="1" w:styleId="Lignefinal">
    <w:name w:val="Ligne final"/>
    <w:basedOn w:val="Normal"/>
    <w:next w:val="Normal"/>
    <w:rsid w:val="001D7B2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D7B2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1D7B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D7B2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D7B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D7B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D7B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D7B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D7B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D7B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D7B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D7B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D7B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D7B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D7B2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D7B2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D7B2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D7B2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D7B24"/>
    <w:pPr>
      <w:widowControl/>
      <w:numPr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D7B24"/>
    <w:pPr>
      <w:widowControl/>
      <w:numPr>
        <w:ilvl w:val="1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D7B24"/>
    <w:pPr>
      <w:widowControl/>
      <w:numPr>
        <w:ilvl w:val="2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D7B24"/>
    <w:pPr>
      <w:widowControl/>
      <w:numPr>
        <w:ilvl w:val="3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D7B24"/>
    <w:pPr>
      <w:widowControl/>
      <w:numPr>
        <w:ilvl w:val="4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D7B24"/>
    <w:pPr>
      <w:widowControl/>
      <w:numPr>
        <w:ilvl w:val="5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D7B24"/>
    <w:pPr>
      <w:widowControl/>
      <w:numPr>
        <w:ilvl w:val="6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D7B24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D7B24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1D7B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D7B24"/>
    <w:pPr>
      <w:widowControl/>
      <w:numPr>
        <w:ilvl w:val="1"/>
        <w:numId w:val="27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qFormat/>
    <w:rsid w:val="001D7B24"/>
    <w:pPr>
      <w:widowControl/>
      <w:numPr>
        <w:numId w:val="27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D7B2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1D7B24"/>
    <w:pPr>
      <w:widowControl/>
      <w:numPr>
        <w:ilvl w:val="3"/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D7B24"/>
    <w:pPr>
      <w:widowControl/>
      <w:numPr>
        <w:ilvl w:val="2"/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D7B2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D7B24"/>
    <w:pPr>
      <w:widowControl/>
      <w:numPr>
        <w:ilvl w:val="5"/>
        <w:numId w:val="27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D7B24"/>
    <w:pPr>
      <w:widowControl/>
      <w:numPr>
        <w:ilvl w:val="4"/>
        <w:numId w:val="27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D7B2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D7B24"/>
    <w:pPr>
      <w:widowControl/>
      <w:numPr>
        <w:ilvl w:val="7"/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D7B24"/>
    <w:pPr>
      <w:widowControl/>
      <w:numPr>
        <w:ilvl w:val="6"/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D7B2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D7B24"/>
    <w:pPr>
      <w:widowControl/>
      <w:numPr>
        <w:ilvl w:val="8"/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D7B2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1D7B2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D7B2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D7B2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D7B2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D7B2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D7B2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D7B2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D7B2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D7B2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D7B2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D7B2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D7B2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D7B2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D7B2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1D7B2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D7B24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Sous-titreobjet">
    <w:name w:val="Sous-titre objet"/>
    <w:basedOn w:val="Normal"/>
    <w:rsid w:val="001D7B24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Normal"/>
    <w:rsid w:val="001D7B2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D7B24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ret0">
    <w:name w:val="Tiret 0"/>
    <w:basedOn w:val="Normal"/>
    <w:rsid w:val="001D7B24"/>
    <w:pPr>
      <w:widowControl/>
      <w:numPr>
        <w:numId w:val="28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1D7B24"/>
    <w:pPr>
      <w:widowControl/>
      <w:numPr>
        <w:numId w:val="29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1D7B24"/>
    <w:pPr>
      <w:widowControl/>
      <w:numPr>
        <w:numId w:val="30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1D7B24"/>
    <w:pPr>
      <w:widowControl/>
      <w:numPr>
        <w:numId w:val="31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1D7B24"/>
    <w:pPr>
      <w:widowControl/>
      <w:numPr>
        <w:numId w:val="32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1D7B24"/>
    <w:pPr>
      <w:widowControl/>
      <w:numPr>
        <w:numId w:val="33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D7B24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D7B2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D7B24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1D7B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D7B2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D7B2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D7B2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D7B2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D7B2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D7B2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cp">
    <w:name w:val="titreobjet_cp"/>
    <w:basedOn w:val="Normal"/>
    <w:rsid w:val="001D7B24"/>
    <w:pPr>
      <w:widowControl/>
      <w:spacing w:before="100" w:beforeAutospacing="1" w:after="100" w:afterAutospacing="1"/>
    </w:pPr>
    <w:rPr>
      <w:szCs w:val="24"/>
    </w:rPr>
  </w:style>
  <w:style w:type="paragraph" w:customStyle="1" w:styleId="Text7">
    <w:name w:val="Text 7"/>
    <w:basedOn w:val="Normal"/>
    <w:rsid w:val="001D7B2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D7B2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D7B2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D7B2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D7B2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D7B2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D7B2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D7B2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D7B24"/>
    <w:pPr>
      <w:widowControl/>
      <w:numPr>
        <w:numId w:val="34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D7B24"/>
    <w:pPr>
      <w:widowControl/>
      <w:numPr>
        <w:numId w:val="35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D7B24"/>
    <w:pPr>
      <w:widowControl/>
      <w:numPr>
        <w:numId w:val="36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D7B24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D7B24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D7B24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D7B2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1D7B2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D7B24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1D7B24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D7B24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D7B24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1D7B24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B24"/>
    <w:pPr>
      <w:numPr>
        <w:ilvl w:val="1"/>
      </w:numPr>
      <w:spacing w:after="160"/>
    </w:pPr>
    <w:rPr>
      <w:color w:val="595959"/>
      <w:spacing w:val="15"/>
      <w:kern w:val="2"/>
      <w:sz w:val="28"/>
      <w:szCs w:val="28"/>
    </w:rPr>
  </w:style>
  <w:style w:type="character" w:customStyle="1" w:styleId="SubtitleChar1">
    <w:name w:val="Subtitle Char1"/>
    <w:basedOn w:val="DefaultParagraphFont"/>
    <w:rsid w:val="001D7B2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l-PL"/>
    </w:rPr>
  </w:style>
  <w:style w:type="paragraph" w:styleId="Quote">
    <w:name w:val="Quote"/>
    <w:basedOn w:val="Normal"/>
    <w:next w:val="Normal"/>
    <w:link w:val="QuoteChar"/>
    <w:uiPriority w:val="29"/>
    <w:qFormat/>
    <w:rsid w:val="001D7B24"/>
    <w:pPr>
      <w:spacing w:before="200" w:after="160"/>
      <w:ind w:left="864" w:right="864"/>
      <w:jc w:val="center"/>
    </w:pPr>
    <w:rPr>
      <w:i/>
      <w:iCs/>
      <w:color w:val="404040"/>
      <w:kern w:val="2"/>
      <w:sz w:val="20"/>
    </w:rPr>
  </w:style>
  <w:style w:type="character" w:customStyle="1" w:styleId="QuoteChar1">
    <w:name w:val="Quote Char1"/>
    <w:basedOn w:val="DefaultParagraphFont"/>
    <w:uiPriority w:val="29"/>
    <w:rsid w:val="001D7B24"/>
    <w:rPr>
      <w:i/>
      <w:iCs/>
      <w:color w:val="404040" w:themeColor="text1" w:themeTint="BF"/>
      <w:sz w:val="24"/>
      <w:lang w:val="pl-PL"/>
    </w:rPr>
  </w:style>
  <w:style w:type="paragraph" w:styleId="ListParagraph">
    <w:name w:val="List Paragraph"/>
    <w:basedOn w:val="Normal"/>
    <w:uiPriority w:val="34"/>
    <w:qFormat/>
    <w:rsid w:val="001D7B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B24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B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kern w:val="2"/>
      <w:sz w:val="20"/>
    </w:rPr>
  </w:style>
  <w:style w:type="character" w:customStyle="1" w:styleId="IntenseQuoteChar1">
    <w:name w:val="Intense Quote Char1"/>
    <w:basedOn w:val="DefaultParagraphFont"/>
    <w:uiPriority w:val="30"/>
    <w:rsid w:val="001D7B24"/>
    <w:rPr>
      <w:i/>
      <w:iCs/>
      <w:color w:val="5B9BD5" w:themeColor="accent1"/>
      <w:sz w:val="24"/>
      <w:lang w:val="pl-PL"/>
    </w:rPr>
  </w:style>
  <w:style w:type="character" w:styleId="IntenseReference">
    <w:name w:val="Intense Reference"/>
    <w:basedOn w:val="DefaultParagraphFont"/>
    <w:uiPriority w:val="32"/>
    <w:qFormat/>
    <w:rsid w:val="001D7B24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1D7B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7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366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2026-05-22T07:12:00Z</dcterms:created>
  <dcterms:modified xsi:type="dcterms:W3CDTF">2026-05-22T07:12:00Z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