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1FD6" w14:paraId="553543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D0D8D0" w14:textId="77777777" w:rsidR="00751A4A" w:rsidRPr="00F21FD6" w:rsidRDefault="008D0E90" w:rsidP="0010095E">
            <w:pPr>
              <w:pStyle w:val="EPName"/>
            </w:pPr>
            <w:r w:rsidRPr="00F21FD6">
              <w:t xml:space="preserve">Parlamento </w:t>
            </w:r>
            <w:proofErr w:type="gramStart"/>
            <w:r w:rsidRPr="00F21FD6">
              <w:t>Europeu</w:t>
            </w:r>
            <w:proofErr w:type="gramEnd"/>
          </w:p>
          <w:p w14:paraId="491A7C5A" w14:textId="77777777" w:rsidR="00751A4A" w:rsidRPr="00F21F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1FD6">
              <w:t>2024</w:t>
            </w:r>
            <w:r w:rsidR="00817416" w:rsidRPr="00F21FD6">
              <w:t>-202</w:t>
            </w:r>
            <w:r w:rsidRPr="00F21FD6">
              <w:t>9</w:t>
            </w:r>
          </w:p>
        </w:tc>
        <w:tc>
          <w:tcPr>
            <w:tcW w:w="2268" w:type="dxa"/>
            <w:shd w:val="clear" w:color="auto" w:fill="auto"/>
          </w:tcPr>
          <w:p w14:paraId="18216BE7" w14:textId="77777777" w:rsidR="00751A4A" w:rsidRPr="00F21FD6" w:rsidRDefault="00187494" w:rsidP="0010095E">
            <w:pPr>
              <w:pStyle w:val="EPLogo"/>
            </w:pPr>
            <w:r w:rsidRPr="00F21FD6">
              <w:rPr>
                <w:noProof/>
                <w:lang w:eastAsia="ja-JP"/>
              </w:rPr>
              <w:drawing>
                <wp:inline distT="0" distB="0" distL="0" distR="0" wp14:anchorId="7A495651" wp14:editId="6A8147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2C3C5" w14:textId="77777777" w:rsidR="00D058B8" w:rsidRPr="00F21FD6" w:rsidRDefault="00D058B8" w:rsidP="004C5D52">
      <w:pPr>
        <w:pStyle w:val="LineTop"/>
      </w:pPr>
    </w:p>
    <w:p w14:paraId="22FD59A0" w14:textId="77777777" w:rsidR="00680577" w:rsidRPr="00F21FD6" w:rsidRDefault="008D0E90" w:rsidP="00680577">
      <w:pPr>
        <w:pStyle w:val="EPBodyTA1"/>
      </w:pPr>
      <w:r w:rsidRPr="00F21FD6">
        <w:t>TEXTOS APROVADOS</w:t>
      </w:r>
    </w:p>
    <w:p w14:paraId="6C6408BE" w14:textId="77777777" w:rsidR="00D058B8" w:rsidRPr="00F21FD6" w:rsidRDefault="00D058B8" w:rsidP="00D058B8">
      <w:pPr>
        <w:pStyle w:val="LineBottom"/>
      </w:pPr>
    </w:p>
    <w:p w14:paraId="54B05503" w14:textId="20E57172" w:rsidR="008D0E90" w:rsidRPr="00F21FD6" w:rsidRDefault="00E07CEC" w:rsidP="008D0E90">
      <w:pPr>
        <w:pStyle w:val="ATHeading1"/>
      </w:pPr>
      <w:bookmarkStart w:id="0" w:name="TANumber"/>
      <w:r w:rsidRPr="00F21FD6">
        <w:t>P10</w:t>
      </w:r>
      <w:r w:rsidR="008D0E90" w:rsidRPr="00F21FD6">
        <w:t>_TA(2026)</w:t>
      </w:r>
      <w:bookmarkEnd w:id="0"/>
      <w:r w:rsidR="000A2E9E" w:rsidRPr="00F21FD6">
        <w:t>0094</w:t>
      </w:r>
    </w:p>
    <w:p w14:paraId="0BBA34D3" w14:textId="77777777" w:rsidR="008D0E90" w:rsidRPr="00F21FD6" w:rsidRDefault="008D0E90" w:rsidP="008D0E90">
      <w:pPr>
        <w:pStyle w:val="ATHeading2"/>
      </w:pPr>
      <w:bookmarkStart w:id="1" w:name="title"/>
      <w:r w:rsidRPr="00F21FD6">
        <w:t>Luta contra a corrupção</w:t>
      </w:r>
      <w:bookmarkEnd w:id="1"/>
    </w:p>
    <w:p w14:paraId="0189493D" w14:textId="323D5064" w:rsidR="008D0E90" w:rsidRPr="00F21FD6" w:rsidRDefault="008D0E90" w:rsidP="008D0E90">
      <w:pPr>
        <w:rPr>
          <w:i/>
          <w:vanish/>
        </w:rPr>
      </w:pPr>
      <w:r w:rsidRPr="00F21FD6">
        <w:rPr>
          <w:i/>
        </w:rPr>
        <w:fldChar w:fldCharType="begin"/>
      </w:r>
      <w:r w:rsidRPr="00F21FD6">
        <w:rPr>
          <w:i/>
        </w:rPr>
        <w:instrText xml:space="preserve"> TC"(</w:instrText>
      </w:r>
      <w:bookmarkStart w:id="2" w:name="DocNumber"/>
      <w:r w:rsidRPr="00F21FD6">
        <w:rPr>
          <w:i/>
        </w:rPr>
        <w:instrText>A9-0048/2024</w:instrText>
      </w:r>
      <w:bookmarkEnd w:id="2"/>
      <w:r w:rsidRPr="00F21FD6">
        <w:rPr>
          <w:i/>
        </w:rPr>
        <w:instrText xml:space="preserve"> - Relatora: </w:instrText>
      </w:r>
      <w:r w:rsidR="00771E21" w:rsidRPr="00F21FD6">
        <w:rPr>
          <w:i/>
        </w:rPr>
        <w:instrText xml:space="preserve">Raquel García </w:instrText>
      </w:r>
      <w:proofErr w:type="spellStart"/>
      <w:r w:rsidR="00771E21" w:rsidRPr="00F21FD6">
        <w:rPr>
          <w:i/>
        </w:rPr>
        <w:instrText>Hermida</w:instrText>
      </w:r>
      <w:proofErr w:type="spellEnd"/>
      <w:r w:rsidR="00771E21" w:rsidRPr="00F21FD6">
        <w:rPr>
          <w:i/>
        </w:rPr>
        <w:instrText xml:space="preserve">-Van Der </w:instrText>
      </w:r>
      <w:proofErr w:type="spellStart"/>
      <w:r w:rsidR="00771E21" w:rsidRPr="00F21FD6">
        <w:rPr>
          <w:i/>
        </w:rPr>
        <w:instrText>Walle</w:instrText>
      </w:r>
      <w:proofErr w:type="spellEnd"/>
      <w:r w:rsidRPr="00F21FD6">
        <w:rPr>
          <w:i/>
        </w:rPr>
        <w:instrText xml:space="preserve">)"\l3 \n&gt; \* MERGEFORMAT </w:instrText>
      </w:r>
      <w:r w:rsidRPr="00F21FD6">
        <w:rPr>
          <w:i/>
        </w:rPr>
        <w:fldChar w:fldCharType="end"/>
      </w:r>
    </w:p>
    <w:p w14:paraId="0ACB60B0" w14:textId="77777777" w:rsidR="008D0E90" w:rsidRPr="00F21FD6" w:rsidRDefault="008D0E90" w:rsidP="008D0E90">
      <w:pPr>
        <w:rPr>
          <w:vanish/>
        </w:rPr>
      </w:pPr>
      <w:bookmarkStart w:id="3" w:name="Commission"/>
      <w:r w:rsidRPr="00F21FD6">
        <w:rPr>
          <w:vanish/>
        </w:rPr>
        <w:t>Comissão das Liberdades Cívicas, da Justiça e dos Assuntos Internos</w:t>
      </w:r>
      <w:bookmarkEnd w:id="3"/>
    </w:p>
    <w:p w14:paraId="3748E3E8" w14:textId="77777777" w:rsidR="008D0E90" w:rsidRPr="00F21FD6" w:rsidRDefault="008D0E90" w:rsidP="008D0E90">
      <w:pPr>
        <w:rPr>
          <w:vanish/>
        </w:rPr>
      </w:pPr>
      <w:bookmarkStart w:id="4" w:name="PE"/>
      <w:r w:rsidRPr="00F21FD6">
        <w:rPr>
          <w:vanish/>
        </w:rPr>
        <w:t>PE753.573</w:t>
      </w:r>
      <w:bookmarkEnd w:id="4"/>
    </w:p>
    <w:p w14:paraId="1EB089EC" w14:textId="7B251CEE" w:rsidR="008D0E90" w:rsidRPr="00F21FD6" w:rsidRDefault="008D0E90" w:rsidP="008D0E90">
      <w:pPr>
        <w:pStyle w:val="ATHeading3"/>
      </w:pPr>
      <w:bookmarkStart w:id="5" w:name="Sujet"/>
      <w:r w:rsidRPr="00F21FD6">
        <w:t xml:space="preserve">Resolução legislativa do Parlamento Europeu, de </w:t>
      </w:r>
      <w:r w:rsidR="00283964" w:rsidRPr="00F21FD6">
        <w:t>2</w:t>
      </w:r>
      <w:r w:rsidR="00771E21" w:rsidRPr="00F21FD6">
        <w:t>6</w:t>
      </w:r>
      <w:r w:rsidR="00283964" w:rsidRPr="00F21FD6">
        <w:t xml:space="preserve"> </w:t>
      </w:r>
      <w:r w:rsidRPr="00F21FD6">
        <w:t xml:space="preserve">de </w:t>
      </w:r>
      <w:r w:rsidR="00283964" w:rsidRPr="00F21FD6">
        <w:t xml:space="preserve">março </w:t>
      </w:r>
      <w:r w:rsidRPr="00F21FD6">
        <w:t>de 2026, sobre a proposta de diretiva do Parlamento Europeu e do Conselho relativa à luta contra a corrupção, que substitui a Decisão-Quadro 2003/568/JAI do Conselho e a Convenção relativa à luta contra a corrupção em que estejam implicados funcionários das Comunidades Europeias ou dos Estados-Membros da União Europeia e que altera a Diretiva (UE) 2017/1371 do Parlamento Europeu e do Conselho</w:t>
      </w:r>
      <w:bookmarkEnd w:id="5"/>
      <w:r w:rsidRPr="00F21FD6">
        <w:t xml:space="preserve"> </w:t>
      </w:r>
      <w:bookmarkStart w:id="6" w:name="References"/>
      <w:r w:rsidRPr="00F21FD6">
        <w:t>(COM(2023)0234 – C9-0162/2023 – 2023/0135(COD))</w:t>
      </w:r>
      <w:bookmarkEnd w:id="6"/>
    </w:p>
    <w:p w14:paraId="0111D46B" w14:textId="77777777" w:rsidR="007B24F8" w:rsidRPr="00F21FD6" w:rsidRDefault="007B24F8" w:rsidP="007B24F8">
      <w:pPr>
        <w:pStyle w:val="NormalBold"/>
      </w:pPr>
      <w:r w:rsidRPr="00F21FD6">
        <w:t>(Processo legislativo ordinário: primeira leitura)</w:t>
      </w:r>
    </w:p>
    <w:p w14:paraId="240EB7CF" w14:textId="77777777" w:rsidR="007B24F8" w:rsidRPr="00F21FD6" w:rsidRDefault="007B24F8" w:rsidP="007B24F8">
      <w:pPr>
        <w:pStyle w:val="EPComma"/>
      </w:pPr>
      <w:r w:rsidRPr="00F21FD6">
        <w:rPr>
          <w:i/>
        </w:rPr>
        <w:t>O Parlamento Europeu</w:t>
      </w:r>
      <w:r w:rsidRPr="00F21FD6">
        <w:t>,</w:t>
      </w:r>
    </w:p>
    <w:p w14:paraId="63AE36BF" w14:textId="26F28320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a proposta da Comissão ao Parlamento e ao Conselho (COM(2023)0234),</w:t>
      </w:r>
    </w:p>
    <w:p w14:paraId="2D772BB8" w14:textId="77777777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o artigo 294.º, n.º 2, o artigo 82.º, n.º 1, alínea d), e o artigo 83.º, n.</w:t>
      </w:r>
      <w:r w:rsidRPr="00F21FD6">
        <w:rPr>
          <w:vertAlign w:val="superscript"/>
        </w:rPr>
        <w:t>os</w:t>
      </w:r>
      <w:r w:rsidRPr="00F21FD6">
        <w:t xml:space="preserve"> 1 e 2, do Tratado sobre o Funcionamento da União Europeia, nos termos dos quais a Comissão apresentou a proposta ao Parlamento (C9</w:t>
      </w:r>
      <w:r w:rsidRPr="00F21FD6">
        <w:noBreakHyphen/>
        <w:t>0162/2023),</w:t>
      </w:r>
    </w:p>
    <w:p w14:paraId="4FD50A69" w14:textId="77777777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o artigo 294.º, n.º 3, do Tratado sobre o Funcionamento da União Europeia,</w:t>
      </w:r>
    </w:p>
    <w:p w14:paraId="3A0C0106" w14:textId="7EE80086" w:rsidR="00A021F7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o</w:t>
      </w:r>
      <w:r w:rsidR="00974DD5" w:rsidRPr="00F21FD6">
        <w:t>s</w:t>
      </w:r>
      <w:r w:rsidRPr="00F21FD6">
        <w:t xml:space="preserve"> parecer</w:t>
      </w:r>
      <w:r w:rsidR="00974DD5" w:rsidRPr="00F21FD6">
        <w:t>es</w:t>
      </w:r>
      <w:r w:rsidRPr="00F21FD6">
        <w:t xml:space="preserve"> fundamentado</w:t>
      </w:r>
      <w:r w:rsidR="00974DD5" w:rsidRPr="00F21FD6">
        <w:t>s</w:t>
      </w:r>
      <w:r w:rsidRPr="00F21FD6">
        <w:t xml:space="preserve"> apresentado</w:t>
      </w:r>
      <w:r w:rsidR="00974DD5" w:rsidRPr="00F21FD6">
        <w:t>s</w:t>
      </w:r>
      <w:r w:rsidRPr="00F21FD6">
        <w:t xml:space="preserve"> pelo Parlamento sueco </w:t>
      </w:r>
      <w:r w:rsidRPr="00F21FD6">
        <w:rPr>
          <w:bCs/>
          <w:iCs/>
        </w:rPr>
        <w:t>e pela Câmara dos Deputados italiana</w:t>
      </w:r>
      <w:r w:rsidRPr="00F21FD6">
        <w:t>, no âmbito do Protocolo n.º 2 relativo à aplicação dos princípios da subsidiariedade e da proporcionalidade, segundo o qual o projeto de ato legislativo não respeita o princípio da subsidiariedade,</w:t>
      </w:r>
    </w:p>
    <w:p w14:paraId="53B1A4B7" w14:textId="4E6D16FC" w:rsidR="00A021F7" w:rsidRPr="00F21FD6" w:rsidRDefault="00A021F7" w:rsidP="00F21FD6">
      <w:pPr>
        <w:spacing w:after="240"/>
        <w:ind w:left="567" w:hanging="567"/>
      </w:pPr>
      <w:r w:rsidRPr="00F21FD6">
        <w:t>–</w:t>
      </w:r>
      <w:r w:rsidRPr="00F21FD6">
        <w:tab/>
        <w:t>Tendo em conta o parecer do Comité Económico e Social Europeu</w:t>
      </w:r>
      <w:r w:rsidR="00771E21" w:rsidRPr="00F21FD6">
        <w:t xml:space="preserve"> de 25 de outubro de 2023</w:t>
      </w:r>
      <w:r w:rsidRPr="00F21FD6">
        <w:rPr>
          <w:b/>
          <w:vertAlign w:val="superscript"/>
        </w:rPr>
        <w:footnoteReference w:id="1"/>
      </w:r>
      <w:r w:rsidRPr="00F21FD6">
        <w:t>,</w:t>
      </w:r>
    </w:p>
    <w:p w14:paraId="40B6FF14" w14:textId="1F270AB8" w:rsidR="00A021F7" w:rsidRPr="00F21FD6" w:rsidRDefault="00A021F7" w:rsidP="00F21FD6">
      <w:pPr>
        <w:spacing w:after="240"/>
        <w:ind w:left="567" w:hanging="567"/>
      </w:pPr>
      <w:r w:rsidRPr="00F21FD6">
        <w:t>–</w:t>
      </w:r>
      <w:r w:rsidRPr="00F21FD6">
        <w:tab/>
        <w:t>Tendo em conta o parecer do Comité das Regiões</w:t>
      </w:r>
      <w:r w:rsidR="00771E21" w:rsidRPr="00F21FD6">
        <w:t xml:space="preserve"> de 29 de novembro de 2023</w:t>
      </w:r>
      <w:r w:rsidRPr="00F21FD6">
        <w:rPr>
          <w:b/>
          <w:vertAlign w:val="superscript"/>
        </w:rPr>
        <w:footnoteReference w:id="2"/>
      </w:r>
      <w:r w:rsidRPr="00F21FD6">
        <w:t>,</w:t>
      </w:r>
    </w:p>
    <w:p w14:paraId="0C14FA50" w14:textId="1DA6EAD4" w:rsidR="00A021F7" w:rsidRPr="00F21FD6" w:rsidRDefault="00A021F7" w:rsidP="007B24F8">
      <w:pPr>
        <w:pStyle w:val="NormalHanging12a"/>
      </w:pPr>
      <w:r w:rsidRPr="00F21FD6">
        <w:lastRenderedPageBreak/>
        <w:t>–</w:t>
      </w:r>
      <w:r w:rsidRPr="00F21FD6">
        <w:tab/>
      </w:r>
      <w:r w:rsidR="00DE16E6" w:rsidRPr="00F21FD6">
        <w:t>Tendo em conta o acordo provisório aprovado pela comissão competente nos termos do artigo 75.º, n.º 4, do seu Regimento e o compromisso assumido pelo representante do Conselho, em carta de 10 de dezembro de 2025, de aprovar a posição do Parlamento, nos termos do artigo 294.º, n.º 4, do Tratado sobre o Funcionamento da União Europeia,</w:t>
      </w:r>
    </w:p>
    <w:p w14:paraId="1D9EE423" w14:textId="409D34D2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 xml:space="preserve">Tendo em conta o artigo </w:t>
      </w:r>
      <w:r w:rsidR="00B56C06" w:rsidRPr="00F21FD6">
        <w:t>60</w:t>
      </w:r>
      <w:r w:rsidRPr="00F21FD6">
        <w:t>.º do seu Regimento,</w:t>
      </w:r>
    </w:p>
    <w:p w14:paraId="73A2DA91" w14:textId="77777777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o parecer da Comissão do Controlo Orçamental,</w:t>
      </w:r>
    </w:p>
    <w:p w14:paraId="49A7F44C" w14:textId="77777777" w:rsidR="007B24F8" w:rsidRPr="00F21FD6" w:rsidRDefault="007B24F8" w:rsidP="007B24F8">
      <w:pPr>
        <w:pStyle w:val="NormalHanging12a"/>
      </w:pPr>
      <w:r w:rsidRPr="00F21FD6">
        <w:t>–</w:t>
      </w:r>
      <w:r w:rsidRPr="00F21FD6">
        <w:tab/>
        <w:t>Tendo em conta o relatório da Comissão das Liberdades Cívicas, da Justiça e dos Assuntos Internos (A9</w:t>
      </w:r>
      <w:r w:rsidRPr="00F21FD6">
        <w:noBreakHyphen/>
        <w:t>0048/2024),</w:t>
      </w:r>
    </w:p>
    <w:p w14:paraId="4B53D8C2" w14:textId="77777777" w:rsidR="007B24F8" w:rsidRPr="00F21FD6" w:rsidRDefault="007B24F8" w:rsidP="007B24F8">
      <w:pPr>
        <w:pStyle w:val="NormalHanging12a"/>
      </w:pPr>
      <w:r w:rsidRPr="00F21FD6">
        <w:t>1.</w:t>
      </w:r>
      <w:r w:rsidRPr="00F21FD6">
        <w:tab/>
        <w:t xml:space="preserve">Aprova a posição em primeira leitura que se segue; </w:t>
      </w:r>
    </w:p>
    <w:p w14:paraId="6AAF5973" w14:textId="77777777" w:rsidR="007B24F8" w:rsidRPr="00F21FD6" w:rsidRDefault="007B24F8" w:rsidP="007B24F8">
      <w:pPr>
        <w:pStyle w:val="NormalHanging12a"/>
      </w:pPr>
      <w:r w:rsidRPr="00F21FD6">
        <w:t>2.</w:t>
      </w:r>
      <w:r w:rsidRPr="00F21FD6">
        <w:tab/>
        <w:t>Requer à Comissão que lhe submeta de novo a sua proposta, se a substituir, se a alterar substancialmente ou se pretender alterá</w:t>
      </w:r>
      <w:r w:rsidRPr="00F21FD6">
        <w:noBreakHyphen/>
        <w:t>la substancialmente;</w:t>
      </w:r>
    </w:p>
    <w:p w14:paraId="64077BD9" w14:textId="0A296D3F" w:rsidR="007B24F8" w:rsidRPr="00F21FD6" w:rsidRDefault="007B24F8" w:rsidP="007B24F8">
      <w:pPr>
        <w:pStyle w:val="NormalHanging12a"/>
      </w:pPr>
      <w:r w:rsidRPr="00F21FD6">
        <w:t>3.</w:t>
      </w:r>
      <w:r w:rsidRPr="00F21FD6">
        <w:tab/>
        <w:t>Encarrega a sua Presidente de transmitir a posição do Parlamento ao Conselho</w:t>
      </w:r>
      <w:r w:rsidR="007009A6" w:rsidRPr="00F21FD6">
        <w:t>,</w:t>
      </w:r>
      <w:r w:rsidRPr="00F21FD6">
        <w:t xml:space="preserve"> à Comissão </w:t>
      </w:r>
      <w:r w:rsidR="007009A6" w:rsidRPr="00F21FD6">
        <w:t>e</w:t>
      </w:r>
      <w:r w:rsidRPr="00F21FD6">
        <w:t xml:space="preserve"> aos parlamentos nacionais.</w:t>
      </w:r>
    </w:p>
    <w:p w14:paraId="4A261163" w14:textId="77777777" w:rsidR="00FF77B1" w:rsidRPr="00F21FD6" w:rsidRDefault="00FF77B1" w:rsidP="00FF77B1"/>
    <w:p w14:paraId="3BB64276" w14:textId="77777777" w:rsidR="00FF77B1" w:rsidRPr="00F21FD6" w:rsidRDefault="00FF77B1" w:rsidP="00FF77B1">
      <w:pPr>
        <w:sectPr w:rsidR="00FF77B1" w:rsidRPr="00F21FD6" w:rsidSect="00C41E7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3233222" w14:textId="01B0DC46" w:rsidR="00FF77B1" w:rsidRPr="00F21FD6" w:rsidRDefault="00FF77B1" w:rsidP="00FF77B1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F21FD6">
        <w:rPr>
          <w:rFonts w:eastAsia="Calibri"/>
          <w:b/>
          <w:szCs w:val="24"/>
          <w:lang w:eastAsia="en-US"/>
        </w:rPr>
        <w:lastRenderedPageBreak/>
        <w:t>P10_TC1-COD(2023)0135</w:t>
      </w:r>
    </w:p>
    <w:p w14:paraId="161A51DD" w14:textId="6FDD101C" w:rsidR="00FF77B1" w:rsidRDefault="00FF77B1" w:rsidP="00FF77B1">
      <w:pPr>
        <w:rPr>
          <w:rFonts w:eastAsia="Calibri"/>
          <w:b/>
          <w:color w:val="000000"/>
          <w:szCs w:val="22"/>
          <w:lang w:eastAsia="en-US"/>
        </w:rPr>
      </w:pPr>
      <w:r w:rsidRPr="00F21FD6">
        <w:rPr>
          <w:b/>
          <w:szCs w:val="24"/>
        </w:rPr>
        <w:t>Posição do Parlamento Europeu aprovada em primeira leitura em 2</w:t>
      </w:r>
      <w:r w:rsidR="00771E21" w:rsidRPr="00F21FD6">
        <w:rPr>
          <w:b/>
          <w:szCs w:val="24"/>
        </w:rPr>
        <w:t>6</w:t>
      </w:r>
      <w:r w:rsidRPr="00F21FD6">
        <w:rPr>
          <w:b/>
          <w:szCs w:val="24"/>
        </w:rPr>
        <w:t xml:space="preserve"> de março de 2026 tendo em vista a adoção da Diretiva (UE) 202</w:t>
      </w:r>
      <w:r w:rsidR="00C45BFF" w:rsidRPr="00F21FD6">
        <w:rPr>
          <w:b/>
          <w:szCs w:val="24"/>
        </w:rPr>
        <w:t>6</w:t>
      </w:r>
      <w:r w:rsidRPr="00F21FD6">
        <w:rPr>
          <w:b/>
          <w:szCs w:val="24"/>
        </w:rPr>
        <w:t xml:space="preserve">/... do Parlamento Europeu e do Conselho </w:t>
      </w:r>
      <w:r w:rsidRPr="00F21FD6">
        <w:rPr>
          <w:rFonts w:eastAsia="Calibri"/>
          <w:b/>
          <w:color w:val="000000"/>
          <w:szCs w:val="22"/>
          <w:lang w:eastAsia="en-US"/>
        </w:rPr>
        <w:t>relativa à luta contra a corrupção, que substitui a Decisão</w:t>
      </w:r>
      <w:r w:rsidRPr="00F21FD6">
        <w:rPr>
          <w:rFonts w:eastAsia="Calibri"/>
          <w:b/>
          <w:color w:val="000000"/>
          <w:szCs w:val="22"/>
          <w:lang w:eastAsia="en-US"/>
        </w:rPr>
        <w:softHyphen/>
      </w:r>
      <w:r w:rsidRPr="00F21FD6">
        <w:rPr>
          <w:rFonts w:eastAsia="Calibri"/>
          <w:b/>
          <w:color w:val="000000"/>
          <w:szCs w:val="22"/>
          <w:lang w:eastAsia="en-US"/>
        </w:rPr>
        <w:noBreakHyphen/>
        <w:t>Quadro 2003/568/JAI do Conselho e a Convenção relativa à luta contra a corrupção em que estejam implicados funcionários das Comunidades Europeias ou dos Estados</w:t>
      </w:r>
      <w:r w:rsidRPr="00F21FD6">
        <w:rPr>
          <w:rFonts w:eastAsia="Calibri"/>
          <w:b/>
          <w:color w:val="000000"/>
          <w:szCs w:val="22"/>
          <w:lang w:eastAsia="en-US"/>
        </w:rPr>
        <w:softHyphen/>
      </w:r>
      <w:r w:rsidRPr="00F21FD6">
        <w:rPr>
          <w:rFonts w:eastAsia="Calibri"/>
          <w:b/>
          <w:color w:val="000000"/>
          <w:szCs w:val="22"/>
          <w:lang w:eastAsia="en-US"/>
        </w:rPr>
        <w:noBreakHyphen/>
        <w:t>Membros da União Europeia e que altera a Diretiva (UE) 2017/1371 do Parlamento Europeu e do Conselho</w:t>
      </w:r>
    </w:p>
    <w:p w14:paraId="7F34CA01" w14:textId="77777777" w:rsidR="00031686" w:rsidRDefault="00031686" w:rsidP="00FF77B1">
      <w:pPr>
        <w:rPr>
          <w:rFonts w:eastAsia="Calibri"/>
          <w:b/>
          <w:color w:val="000000"/>
          <w:szCs w:val="22"/>
          <w:lang w:eastAsia="en-US"/>
        </w:rPr>
      </w:pPr>
    </w:p>
    <w:p w14:paraId="74219D66" w14:textId="160875D3" w:rsidR="00031686" w:rsidRPr="00031686" w:rsidRDefault="00031686" w:rsidP="00FF77B1">
      <w:pPr>
        <w:rPr>
          <w:rFonts w:eastAsia="Calibri"/>
          <w:bCs/>
          <w:i/>
          <w:iCs/>
          <w:color w:val="000000"/>
          <w:szCs w:val="22"/>
          <w:lang w:eastAsia="en-US"/>
        </w:rPr>
      </w:pPr>
      <w:r w:rsidRPr="00031686">
        <w:rPr>
          <w:rFonts w:eastAsia="Calibri"/>
          <w:bCs/>
          <w:i/>
          <w:iCs/>
          <w:color w:val="000000"/>
          <w:szCs w:val="22"/>
          <w:lang w:eastAsia="en-US"/>
        </w:rPr>
        <w:t>(Uma vez que foi alcançado um acordo entre o Parlamento e o Conselho, a posição do Parlamento corresponde ao texto legislativo final, Diretiva (UE) 2026/1021.)</w:t>
      </w:r>
    </w:p>
    <w:sectPr w:rsidR="00031686" w:rsidRPr="00031686" w:rsidSect="00C41E7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EB52" w14:textId="77777777" w:rsidR="008D0E90" w:rsidRPr="00C41E79" w:rsidRDefault="008D0E90">
      <w:r w:rsidRPr="00C41E79">
        <w:separator/>
      </w:r>
    </w:p>
  </w:endnote>
  <w:endnote w:type="continuationSeparator" w:id="0">
    <w:p w14:paraId="0D50C497" w14:textId="77777777" w:rsidR="008D0E90" w:rsidRPr="00C41E79" w:rsidRDefault="008D0E90">
      <w:r w:rsidRPr="00C41E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DCDF" w14:textId="77777777" w:rsidR="008D0E90" w:rsidRPr="00C41E79" w:rsidRDefault="008D0E90">
      <w:r w:rsidRPr="00C41E79">
        <w:separator/>
      </w:r>
    </w:p>
  </w:footnote>
  <w:footnote w:type="continuationSeparator" w:id="0">
    <w:p w14:paraId="594479CC" w14:textId="77777777" w:rsidR="008D0E90" w:rsidRPr="00C41E79" w:rsidRDefault="008D0E90">
      <w:r w:rsidRPr="00C41E79">
        <w:continuationSeparator/>
      </w:r>
    </w:p>
  </w:footnote>
  <w:footnote w:id="1">
    <w:p w14:paraId="4725FDDB" w14:textId="0C614473" w:rsidR="00A021F7" w:rsidRPr="00FF77B1" w:rsidRDefault="00A021F7" w:rsidP="00F11D6F">
      <w:pPr>
        <w:pStyle w:val="FootnoteText"/>
        <w:spacing w:line="240" w:lineRule="auto"/>
        <w:ind w:left="567" w:hanging="567"/>
        <w:rPr>
          <w:sz w:val="24"/>
          <w:szCs w:val="24"/>
          <w:lang w:val="fi-FI"/>
        </w:rPr>
      </w:pPr>
      <w:r w:rsidRPr="00FF77B1">
        <w:rPr>
          <w:rStyle w:val="FootnoteReference"/>
          <w:sz w:val="24"/>
          <w:szCs w:val="24"/>
        </w:rPr>
        <w:footnoteRef/>
      </w:r>
      <w:r w:rsidRPr="00FF77B1">
        <w:rPr>
          <w:sz w:val="24"/>
          <w:szCs w:val="24"/>
          <w:lang w:val="fi-FI"/>
        </w:rPr>
        <w:tab/>
        <w:t xml:space="preserve">JO C, C/2024/886, 6.2.2024, ELI: </w:t>
      </w:r>
      <w:hyperlink r:id="rId1" w:history="1">
        <w:r w:rsidRPr="00FF77B1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FF77B1">
        <w:rPr>
          <w:sz w:val="24"/>
          <w:szCs w:val="24"/>
          <w:lang w:val="fi-FI"/>
        </w:rPr>
        <w:t>.</w:t>
      </w:r>
    </w:p>
  </w:footnote>
  <w:footnote w:id="2">
    <w:p w14:paraId="17888A0F" w14:textId="12D8E125" w:rsidR="00A021F7" w:rsidRPr="00FF77B1" w:rsidRDefault="00A021F7" w:rsidP="00F11D6F">
      <w:pPr>
        <w:pStyle w:val="FootnoteText"/>
        <w:spacing w:line="240" w:lineRule="auto"/>
        <w:ind w:left="567" w:hanging="567"/>
        <w:rPr>
          <w:sz w:val="24"/>
          <w:szCs w:val="24"/>
          <w:lang w:val="fi-FI"/>
        </w:rPr>
      </w:pPr>
      <w:r w:rsidRPr="00FF77B1">
        <w:rPr>
          <w:rStyle w:val="FootnoteReference"/>
          <w:sz w:val="24"/>
          <w:szCs w:val="24"/>
        </w:rPr>
        <w:footnoteRef/>
      </w:r>
      <w:r w:rsidRPr="00FF77B1">
        <w:rPr>
          <w:sz w:val="24"/>
          <w:szCs w:val="24"/>
          <w:lang w:val="fi-FI"/>
        </w:rPr>
        <w:tab/>
        <w:t xml:space="preserve">JO C, C/2024/1048, 9.2.2024, ELI: </w:t>
      </w:r>
      <w:r>
        <w:fldChar w:fldCharType="begin"/>
      </w:r>
      <w:r w:rsidRPr="00031686">
        <w:rPr>
          <w:lang w:val="fi-FI"/>
        </w:rPr>
        <w:instrText>HYPERLINK "http://data.europa.eu/eli/C/2024/1048/oj"</w:instrText>
      </w:r>
      <w:r>
        <w:fldChar w:fldCharType="separate"/>
      </w:r>
      <w:r w:rsidRPr="00FF77B1">
        <w:rPr>
          <w:rStyle w:val="Hyperlink"/>
          <w:sz w:val="24"/>
          <w:szCs w:val="24"/>
          <w:lang w:val="fi-FI"/>
        </w:rPr>
        <w:t>http://data.europa.eu/eli/C/2024/1048/oj</w:t>
      </w:r>
      <w:r>
        <w:fldChar w:fldCharType="end"/>
      </w:r>
      <w:r w:rsidRPr="00FF77B1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0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0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27668246">
    <w:abstractNumId w:val="2"/>
  </w:num>
  <w:num w:numId="2" w16cid:durableId="2145081133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PT"/>
    <w:docVar w:name="dvnumam" w:val="251"/>
    <w:docVar w:name="dvpe" w:val="753.573"/>
    <w:docVar w:name="dvrapporteur" w:val="Relatora: "/>
    <w:docVar w:name="dvstar" w:val="***I"/>
    <w:docVar w:name="dvtitre" w:val="Resolução legislativa do Parlamento Europeu, de ... de ... de 2026,_x000d__x000a_ sobre a proposta de diretiva do Parlamento Europeu e do Conselho relativa à luta contra a corrupção, que substitui a Decisão-Quadro 2003/568/JAI do Conselho e a Convenção relativa à luta contra a corrupção em que estejam implicados funcionários das Comunidades Europeias ou dos Estados-Membros da União Europeia e que altera a Diretiva (UE) 2017/1371 do Parlamento Europeu e do Conselho(COM(2023)0234 – C9-0162/2023 – 2023/0135(COD))"/>
  </w:docVars>
  <w:rsids>
    <w:rsidRoot w:val="008D0E90"/>
    <w:rsid w:val="00002272"/>
    <w:rsid w:val="00031686"/>
    <w:rsid w:val="00064002"/>
    <w:rsid w:val="000677B9"/>
    <w:rsid w:val="000831BA"/>
    <w:rsid w:val="000A2E9E"/>
    <w:rsid w:val="000A42CC"/>
    <w:rsid w:val="000E7DD9"/>
    <w:rsid w:val="0010095E"/>
    <w:rsid w:val="00125B37"/>
    <w:rsid w:val="00187494"/>
    <w:rsid w:val="001F32AE"/>
    <w:rsid w:val="00210042"/>
    <w:rsid w:val="00232FF3"/>
    <w:rsid w:val="002767FF"/>
    <w:rsid w:val="0028396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522"/>
    <w:rsid w:val="005C2568"/>
    <w:rsid w:val="005F1B17"/>
    <w:rsid w:val="006037C0"/>
    <w:rsid w:val="006631B6"/>
    <w:rsid w:val="00680577"/>
    <w:rsid w:val="006F5483"/>
    <w:rsid w:val="006F74FA"/>
    <w:rsid w:val="007009A6"/>
    <w:rsid w:val="00731ADD"/>
    <w:rsid w:val="00734777"/>
    <w:rsid w:val="00747932"/>
    <w:rsid w:val="00751A4A"/>
    <w:rsid w:val="00756632"/>
    <w:rsid w:val="00762C74"/>
    <w:rsid w:val="00771E21"/>
    <w:rsid w:val="00786EC0"/>
    <w:rsid w:val="007B24F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E90"/>
    <w:rsid w:val="00930C23"/>
    <w:rsid w:val="0093193B"/>
    <w:rsid w:val="009509D8"/>
    <w:rsid w:val="00950B64"/>
    <w:rsid w:val="00974DD5"/>
    <w:rsid w:val="00981893"/>
    <w:rsid w:val="00A021F7"/>
    <w:rsid w:val="00A1687D"/>
    <w:rsid w:val="00A43E52"/>
    <w:rsid w:val="00A4678D"/>
    <w:rsid w:val="00A64C53"/>
    <w:rsid w:val="00A778C7"/>
    <w:rsid w:val="00AB441E"/>
    <w:rsid w:val="00AB6293"/>
    <w:rsid w:val="00AE0928"/>
    <w:rsid w:val="00AF3B82"/>
    <w:rsid w:val="00B12E95"/>
    <w:rsid w:val="00B22876"/>
    <w:rsid w:val="00B558F0"/>
    <w:rsid w:val="00B56C06"/>
    <w:rsid w:val="00BD24E5"/>
    <w:rsid w:val="00BD48FE"/>
    <w:rsid w:val="00BD7BD8"/>
    <w:rsid w:val="00BE6ADC"/>
    <w:rsid w:val="00BF4021"/>
    <w:rsid w:val="00C05BFE"/>
    <w:rsid w:val="00C23CD4"/>
    <w:rsid w:val="00C33272"/>
    <w:rsid w:val="00C41E79"/>
    <w:rsid w:val="00C45BFF"/>
    <w:rsid w:val="00C61C0C"/>
    <w:rsid w:val="00C941CB"/>
    <w:rsid w:val="00CC2357"/>
    <w:rsid w:val="00CF071A"/>
    <w:rsid w:val="00D012B1"/>
    <w:rsid w:val="00D058B8"/>
    <w:rsid w:val="00D271EF"/>
    <w:rsid w:val="00D56C11"/>
    <w:rsid w:val="00D834A0"/>
    <w:rsid w:val="00D872DF"/>
    <w:rsid w:val="00D91E21"/>
    <w:rsid w:val="00DA7FCD"/>
    <w:rsid w:val="00DE16E6"/>
    <w:rsid w:val="00E07CEC"/>
    <w:rsid w:val="00E365E1"/>
    <w:rsid w:val="00E820A4"/>
    <w:rsid w:val="00EB006A"/>
    <w:rsid w:val="00EB4772"/>
    <w:rsid w:val="00ED169E"/>
    <w:rsid w:val="00ED4235"/>
    <w:rsid w:val="00F04346"/>
    <w:rsid w:val="00F075DC"/>
    <w:rsid w:val="00F11D6F"/>
    <w:rsid w:val="00F149E9"/>
    <w:rsid w:val="00F21FD6"/>
    <w:rsid w:val="00F5134D"/>
    <w:rsid w:val="00F71208"/>
    <w:rsid w:val="00F74202"/>
    <w:rsid w:val="00F87713"/>
    <w:rsid w:val="00FB4360"/>
    <w:rsid w:val="00FC00A0"/>
    <w:rsid w:val="00FD0C70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6597F9"/>
  <w15:chartTrackingRefBased/>
  <w15:docId w15:val="{742F0581-0E2F-4284-8B02-7A6184AF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B24F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B24F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B24F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B24F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4F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4F8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4F8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4F8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4F8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7B24F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B24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B24F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B24F8"/>
    <w:pPr>
      <w:spacing w:after="120"/>
    </w:pPr>
  </w:style>
  <w:style w:type="paragraph" w:customStyle="1" w:styleId="PageHeading">
    <w:name w:val="PageHeading"/>
    <w:basedOn w:val="Normal"/>
    <w:rsid w:val="007B24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B24F8"/>
    <w:rPr>
      <w:b/>
    </w:rPr>
  </w:style>
  <w:style w:type="paragraph" w:customStyle="1" w:styleId="NormalBold12a">
    <w:name w:val="NormalBold12a"/>
    <w:basedOn w:val="Normal"/>
    <w:rsid w:val="007B24F8"/>
    <w:pPr>
      <w:spacing w:after="240"/>
    </w:pPr>
    <w:rPr>
      <w:b/>
    </w:rPr>
  </w:style>
  <w:style w:type="paragraph" w:customStyle="1" w:styleId="AmJustText">
    <w:name w:val="AmJustText"/>
    <w:basedOn w:val="Normal"/>
    <w:rsid w:val="007B24F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B24F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B24F8"/>
    <w:pPr>
      <w:spacing w:after="480"/>
      <w:ind w:left="1417"/>
    </w:pPr>
  </w:style>
  <w:style w:type="paragraph" w:customStyle="1" w:styleId="CoverNormal">
    <w:name w:val="CoverNormal"/>
    <w:basedOn w:val="Normal"/>
    <w:rsid w:val="007B24F8"/>
    <w:pPr>
      <w:ind w:left="1418"/>
    </w:pPr>
  </w:style>
  <w:style w:type="paragraph" w:customStyle="1" w:styleId="AmCrossRef">
    <w:name w:val="AmCrossRef"/>
    <w:basedOn w:val="Normal"/>
    <w:rsid w:val="007B24F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B24F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B24F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B24F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B24F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B24F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B2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4F8"/>
    <w:rPr>
      <w:sz w:val="24"/>
      <w:lang w:val="pt-PT"/>
    </w:rPr>
  </w:style>
  <w:style w:type="paragraph" w:customStyle="1" w:styleId="AmOrLang">
    <w:name w:val="AmOrLang"/>
    <w:basedOn w:val="Normal"/>
    <w:rsid w:val="007B24F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B24F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B24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B24F8"/>
    <w:pPr>
      <w:spacing w:before="240"/>
    </w:pPr>
    <w:rPr>
      <w:b/>
    </w:rPr>
  </w:style>
  <w:style w:type="paragraph" w:customStyle="1" w:styleId="EPBody">
    <w:name w:val="EPBody"/>
    <w:basedOn w:val="Normal"/>
    <w:rsid w:val="007B24F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B24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24F8"/>
    <w:pPr>
      <w:spacing w:before="480" w:after="240"/>
    </w:pPr>
  </w:style>
  <w:style w:type="paragraph" w:customStyle="1" w:styleId="Lgendesigne">
    <w:name w:val="Légende signe"/>
    <w:basedOn w:val="Normal"/>
    <w:rsid w:val="007B24F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B24F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B24F8"/>
    <w:rPr>
      <w:sz w:val="18"/>
    </w:rPr>
  </w:style>
  <w:style w:type="paragraph" w:customStyle="1" w:styleId="msonormal0">
    <w:name w:val="msonormal"/>
    <w:basedOn w:val="Normal"/>
    <w:rsid w:val="007B24F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7B24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4F8"/>
    <w:rPr>
      <w:sz w:val="24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7B24F8"/>
    <w:rPr>
      <w:noProof/>
      <w:sz w:val="24"/>
    </w:rPr>
  </w:style>
  <w:style w:type="paragraph" w:customStyle="1" w:styleId="Normal12">
    <w:name w:val="Normal12"/>
    <w:basedOn w:val="Normal"/>
    <w:link w:val="Normal12Char"/>
    <w:rsid w:val="007B24F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B24F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B24F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B24F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B24F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B24F8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B24F8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7B24F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B24F8"/>
    <w:rPr>
      <w:b/>
      <w:sz w:val="24"/>
      <w:lang w:val="pt-PT"/>
    </w:rPr>
  </w:style>
  <w:style w:type="paragraph" w:customStyle="1" w:styleId="Normal12Italic">
    <w:name w:val="Normal12Italic"/>
    <w:basedOn w:val="Normal12"/>
    <w:rsid w:val="007B24F8"/>
    <w:rPr>
      <w:i/>
    </w:rPr>
  </w:style>
  <w:style w:type="paragraph" w:customStyle="1" w:styleId="JustificationTitle">
    <w:name w:val="JustificationTitle"/>
    <w:basedOn w:val="Normal"/>
    <w:next w:val="Normal12"/>
    <w:rsid w:val="007B24F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B24F8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B24F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B24F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B24F8"/>
    <w:pPr>
      <w:spacing w:before="240"/>
      <w:jc w:val="center"/>
    </w:pPr>
    <w:rPr>
      <w:i/>
    </w:rPr>
  </w:style>
  <w:style w:type="character" w:customStyle="1" w:styleId="Footer2Middle">
    <w:name w:val="Footer2Middle"/>
    <w:rsid w:val="007B24F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B24F8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7B24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B24F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7B24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24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24F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B2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B24F8"/>
    <w:rPr>
      <w:b/>
      <w:bCs/>
      <w:lang w:val="pt-PT"/>
    </w:rPr>
  </w:style>
  <w:style w:type="paragraph" w:customStyle="1" w:styleId="Normal1">
    <w:name w:val="Normal1"/>
    <w:basedOn w:val="Normal"/>
    <w:rsid w:val="007B24F8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7B24F8"/>
    <w:rPr>
      <w:sz w:val="24"/>
      <w:lang w:val="pt-PT"/>
    </w:rPr>
  </w:style>
  <w:style w:type="character" w:customStyle="1" w:styleId="AmNumberTabsChar">
    <w:name w:val="AmNumberTabs Char"/>
    <w:basedOn w:val="DefaultParagraphFont"/>
    <w:link w:val="AmNumberTabs"/>
    <w:rsid w:val="007B24F8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7B24F8"/>
    <w:rPr>
      <w:b/>
      <w:sz w:val="24"/>
      <w:lang w:val="pt-PT"/>
    </w:rPr>
  </w:style>
  <w:style w:type="paragraph" w:customStyle="1" w:styleId="Normal24a">
    <w:name w:val="Normal24a"/>
    <w:basedOn w:val="Normal"/>
    <w:rsid w:val="007B24F8"/>
    <w:pPr>
      <w:spacing w:after="480"/>
    </w:pPr>
  </w:style>
  <w:style w:type="paragraph" w:customStyle="1" w:styleId="NormalBoldCenter">
    <w:name w:val="NormalBoldCenter"/>
    <w:basedOn w:val="Normal"/>
    <w:rsid w:val="007B24F8"/>
    <w:pPr>
      <w:jc w:val="center"/>
    </w:pPr>
    <w:rPr>
      <w:b/>
    </w:rPr>
  </w:style>
  <w:style w:type="paragraph" w:customStyle="1" w:styleId="Normal12a">
    <w:name w:val="Normal12a"/>
    <w:basedOn w:val="Normal"/>
    <w:rsid w:val="007B24F8"/>
    <w:pPr>
      <w:spacing w:after="240"/>
    </w:pPr>
  </w:style>
  <w:style w:type="paragraph" w:customStyle="1" w:styleId="PageHeadingNotTOC">
    <w:name w:val="PageHeadingNotTOC"/>
    <w:basedOn w:val="Normal"/>
    <w:rsid w:val="007B24F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B24F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7B24F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B24F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B24F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B24F8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7B24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1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021F7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FF77B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F77B1"/>
    <w:pPr>
      <w:spacing w:after="240"/>
      <w:jc w:val="center"/>
    </w:pPr>
  </w:style>
  <w:style w:type="paragraph" w:customStyle="1" w:styleId="AmDateTab">
    <w:name w:val="AmDateTab"/>
    <w:basedOn w:val="Normal"/>
    <w:rsid w:val="00FF77B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F77B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F77B1"/>
  </w:style>
  <w:style w:type="paragraph" w:customStyle="1" w:styleId="Title1">
    <w:name w:val="Title1"/>
    <w:basedOn w:val="Normal"/>
    <w:next w:val="Normal"/>
    <w:uiPriority w:val="10"/>
    <w:qFormat/>
    <w:rsid w:val="00FF77B1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F77B1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FF77B1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F77B1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FF77B1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F77B1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FF77B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FF77B1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FF77B1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7B1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FF77B1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FF77B1"/>
    <w:rPr>
      <w:rFonts w:eastAsia="Calibri" w:cs="Arial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FF77B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F77B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F77B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F77B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F77B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F77B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F77B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F77B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F77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F77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F77B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F77B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F77B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F77B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F77B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F77B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F77B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F77B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F77B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F77B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F77B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F77B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F77B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F77B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F77B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F77B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F77B1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F77B1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F77B1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F77B1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F77B1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F77B1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F77B1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F77B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F77B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F77B1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F77B1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F77B1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F77B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F77B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F77B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F77B1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F77B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F77B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F77B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F77B1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F77B1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F77B1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F77B1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F77B1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F77B1"/>
    <w:pPr>
      <w:numPr>
        <w:numId w:val="8"/>
      </w:numPr>
      <w:tabs>
        <w:tab w:val="clear" w:pos="567"/>
        <w:tab w:val="num" w:pos="1080"/>
      </w:tabs>
      <w:ind w:left="0" w:firstLine="0"/>
    </w:pPr>
  </w:style>
  <w:style w:type="paragraph" w:customStyle="1" w:styleId="DashEqual1">
    <w:name w:val="Dash Equal 1"/>
    <w:basedOn w:val="Dash1"/>
    <w:rsid w:val="00FF77B1"/>
    <w:pPr>
      <w:numPr>
        <w:numId w:val="9"/>
      </w:numPr>
      <w:tabs>
        <w:tab w:val="clear" w:pos="1134"/>
        <w:tab w:val="num" w:pos="1440"/>
      </w:tabs>
      <w:ind w:left="0" w:firstLine="0"/>
    </w:pPr>
  </w:style>
  <w:style w:type="paragraph" w:customStyle="1" w:styleId="DashEqual2">
    <w:name w:val="Dash Equal 2"/>
    <w:basedOn w:val="Dash2"/>
    <w:rsid w:val="00FF77B1"/>
    <w:pPr>
      <w:numPr>
        <w:numId w:val="10"/>
      </w:numPr>
      <w:tabs>
        <w:tab w:val="clear" w:pos="1701"/>
        <w:tab w:val="num" w:pos="1440"/>
      </w:tabs>
      <w:ind w:left="0" w:firstLine="0"/>
    </w:pPr>
  </w:style>
  <w:style w:type="paragraph" w:customStyle="1" w:styleId="DashEqual3">
    <w:name w:val="Dash Equal 3"/>
    <w:basedOn w:val="Dash3"/>
    <w:rsid w:val="00FF77B1"/>
    <w:pPr>
      <w:numPr>
        <w:numId w:val="11"/>
      </w:numPr>
      <w:tabs>
        <w:tab w:val="clear" w:pos="2268"/>
        <w:tab w:val="num" w:pos="1800"/>
      </w:tabs>
      <w:ind w:left="0" w:firstLine="0"/>
    </w:pPr>
  </w:style>
  <w:style w:type="paragraph" w:customStyle="1" w:styleId="DashEqual4">
    <w:name w:val="Dash Equal 4"/>
    <w:basedOn w:val="Dash4"/>
    <w:rsid w:val="00FF77B1"/>
    <w:pPr>
      <w:numPr>
        <w:numId w:val="12"/>
      </w:numPr>
      <w:tabs>
        <w:tab w:val="clear" w:pos="2835"/>
        <w:tab w:val="num" w:pos="1800"/>
      </w:tabs>
      <w:ind w:left="0" w:firstLine="0"/>
    </w:pPr>
  </w:style>
  <w:style w:type="character" w:customStyle="1" w:styleId="Marker">
    <w:name w:val="Marker"/>
    <w:basedOn w:val="DefaultParagraphFont"/>
    <w:rsid w:val="00FF77B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F77B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F77B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F77B1"/>
    <w:pPr>
      <w:numPr>
        <w:numId w:val="22"/>
      </w:numPr>
      <w:tabs>
        <w:tab w:val="clear" w:pos="567"/>
        <w:tab w:val="num" w:pos="180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F77B1"/>
    <w:pPr>
      <w:numPr>
        <w:numId w:val="21"/>
      </w:numPr>
      <w:tabs>
        <w:tab w:val="clear" w:pos="567"/>
        <w:tab w:val="num" w:pos="180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F77B1"/>
    <w:pPr>
      <w:numPr>
        <w:numId w:val="20"/>
      </w:numPr>
      <w:tabs>
        <w:tab w:val="clear" w:pos="567"/>
        <w:tab w:val="num" w:pos="144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F77B1"/>
    <w:pPr>
      <w:jc w:val="center"/>
    </w:pPr>
  </w:style>
  <w:style w:type="paragraph" w:customStyle="1" w:styleId="Jardin">
    <w:name w:val="Jardin"/>
    <w:basedOn w:val="Normal"/>
    <w:rsid w:val="00FF77B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F77B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F77B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F77B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F77B1"/>
    <w:rPr>
      <w:b/>
    </w:rPr>
  </w:style>
  <w:style w:type="paragraph" w:customStyle="1" w:styleId="Annex">
    <w:name w:val="Annex"/>
    <w:basedOn w:val="Normal"/>
    <w:next w:val="Normal"/>
    <w:rsid w:val="00FF77B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F77B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F77B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F77B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F77B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F77B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F77B1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FF77B1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FF77B1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FF77B1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F77B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F77B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F77B1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FF77B1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FF77B1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FF77B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F77B1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SubjectTable">
    <w:name w:val="TBSubjectTable"/>
    <w:basedOn w:val="TechnicalBlockBase"/>
    <w:rsid w:val="00FF77B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FF77B1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FF77B1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F77B1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F77B1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t-PT" w:eastAsia="fr-BE"/>
    </w:rPr>
  </w:style>
  <w:style w:type="paragraph" w:customStyle="1" w:styleId="HeaderCouncilLarge">
    <w:name w:val="Header Council Large"/>
    <w:basedOn w:val="Normal"/>
    <w:link w:val="HeaderCouncilLargeChar"/>
    <w:rsid w:val="00FF77B1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F77B1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t-PT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FF77B1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t-PT" w:eastAsia="fr-BE"/>
    </w:rPr>
  </w:style>
  <w:style w:type="paragraph" w:customStyle="1" w:styleId="FooterText">
    <w:name w:val="Footer Text"/>
    <w:basedOn w:val="Normal"/>
    <w:rsid w:val="00FF77B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F77B1"/>
    <w:rPr>
      <w:color w:val="808080"/>
    </w:rPr>
  </w:style>
  <w:style w:type="character" w:customStyle="1" w:styleId="EntReferChar">
    <w:name w:val="EntRefer Char"/>
    <w:basedOn w:val="DefaultParagraphFont"/>
    <w:link w:val="TBEntRefer"/>
    <w:rsid w:val="00FF77B1"/>
    <w:rPr>
      <w:rFonts w:ascii="Arial" w:hAnsi="Arial" w:cs="Arial"/>
      <w:b/>
      <w:sz w:val="23"/>
      <w:u w:color="606060"/>
      <w:lang w:val="pt-PT" w:eastAsia="fr-BE"/>
    </w:rPr>
  </w:style>
  <w:style w:type="paragraph" w:customStyle="1" w:styleId="TBDistrbMarkers">
    <w:name w:val="TBDistrbMarkers"/>
    <w:basedOn w:val="TBEntRefer"/>
    <w:qFormat/>
    <w:rsid w:val="00FF77B1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FF77B1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FF77B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FF77B1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FF77B1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FF77B1"/>
    <w:rPr>
      <w:rFonts w:ascii="Times New Roman" w:hAnsi="Times New Roman" w:cs="Times New Roman"/>
      <w:sz w:val="24"/>
      <w:lang w:val="pt-PT"/>
    </w:rPr>
  </w:style>
  <w:style w:type="paragraph" w:customStyle="1" w:styleId="title-bold">
    <w:name w:val="title-bold"/>
    <w:basedOn w:val="Normal"/>
    <w:rsid w:val="00FF77B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FF77B1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FF77B1"/>
    <w:rPr>
      <w:i/>
      <w:iCs/>
    </w:rPr>
  </w:style>
  <w:style w:type="paragraph" w:customStyle="1" w:styleId="Manual">
    <w:name w:val="Manual"/>
    <w:basedOn w:val="Normal"/>
    <w:rsid w:val="00FF77B1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FF77B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FF77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FF77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F77B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FF77B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F77B1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F77B1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F77B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FF77B1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F77B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F77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F77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F77B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F77B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F77B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F77B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F77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F77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F77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F77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F77B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F77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F77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F77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F77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F77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F77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F77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F77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FF77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F77B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F77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F77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F77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F77B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FF77B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FF77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F77B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F77B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FF77B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FF77B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FF77B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F77B1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FF77B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F77B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F77B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FF77B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F77B1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FF77B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F77B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F77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F77B1"/>
    <w:pPr>
      <w:spacing w:after="240"/>
    </w:pPr>
  </w:style>
  <w:style w:type="paragraph" w:customStyle="1" w:styleId="Lignefinal">
    <w:name w:val="Ligne final"/>
    <w:basedOn w:val="Normal"/>
    <w:next w:val="Normal"/>
    <w:rsid w:val="00FF77B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F77B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F77B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F77B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F77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F77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F77B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F77B1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F77B1"/>
    <w:pPr>
      <w:widowControl/>
      <w:numPr>
        <w:ilvl w:val="4"/>
        <w:numId w:val="26"/>
      </w:numPr>
      <w:tabs>
        <w:tab w:val="clear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F77B1"/>
    <w:pPr>
      <w:widowControl/>
      <w:numPr>
        <w:ilvl w:val="5"/>
        <w:numId w:val="26"/>
      </w:numPr>
      <w:tabs>
        <w:tab w:val="clear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F77B1"/>
    <w:pPr>
      <w:widowControl/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F77B1"/>
    <w:pPr>
      <w:widowControl/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F77B1"/>
    <w:pPr>
      <w:widowControl/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F77B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F77B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FF77B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F77B1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FF77B1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F77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F77B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F77B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F77B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F77B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F77B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F77B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F77B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F77B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F77B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F77B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F77B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F77B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F77B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F77B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F77B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F77B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F77B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F77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F77B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FF77B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F77B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FF77B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FF77B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F77B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FF77B1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F77B1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F77B1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F77B1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F77B1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F77B1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F77B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F77B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F77B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F77B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F77B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FF77B1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FF77B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F77B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F77B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F77B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F77B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F77B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F77B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F77B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F77B1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F77B1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F77B1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F77B1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F77B1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F77B1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F77B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FF77B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F77B1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FF77B1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F77B1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FF77B1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FF77B1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7B1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FF77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FF77B1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FF77B1"/>
    <w:rPr>
      <w:i/>
      <w:iCs/>
      <w:color w:val="404040" w:themeColor="text1" w:themeTint="BF"/>
      <w:sz w:val="24"/>
      <w:lang w:val="pt-PT"/>
    </w:rPr>
  </w:style>
  <w:style w:type="character" w:styleId="IntenseEmphasis">
    <w:name w:val="Intense Emphasis"/>
    <w:basedOn w:val="DefaultParagraphFont"/>
    <w:uiPriority w:val="21"/>
    <w:qFormat/>
    <w:rsid w:val="00FF77B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7B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FF77B1"/>
    <w:rPr>
      <w:i/>
      <w:iCs/>
      <w:color w:val="5B9BD5" w:themeColor="accent1"/>
      <w:sz w:val="24"/>
      <w:lang w:val="pt-PT"/>
    </w:rPr>
  </w:style>
  <w:style w:type="character" w:styleId="IntenseReference">
    <w:name w:val="Intense Reference"/>
    <w:basedOn w:val="DefaultParagraphFont"/>
    <w:uiPriority w:val="32"/>
    <w:qFormat/>
    <w:rsid w:val="00FF77B1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494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MARTINSIsabelAlex-PlenConsAM</dc:creator>
  <cp:keywords/>
  <cp:lastModifiedBy>SEMEDO Teresa</cp:lastModifiedBy>
  <cp:revision>2</cp:revision>
  <cp:lastPrinted>2004-11-19T15:42:00Z</cp:lastPrinted>
  <dcterms:created xsi:type="dcterms:W3CDTF">2026-05-22T09:10:00Z</dcterms:created>
  <dcterms:modified xsi:type="dcterms:W3CDTF">2026-05-22T09:10:00Z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