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F0DEB" w14:paraId="5AF83E5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BB647B" w14:textId="77777777" w:rsidR="00751A4A" w:rsidRPr="006F0DEB" w:rsidRDefault="00206868" w:rsidP="0010095E">
            <w:pPr>
              <w:pStyle w:val="EPName"/>
            </w:pPr>
            <w:r w:rsidRPr="006F0DEB">
              <w:t>Europa-Parlamentet</w:t>
            </w:r>
          </w:p>
          <w:p w14:paraId="1E0A999A" w14:textId="77777777" w:rsidR="00751A4A" w:rsidRPr="006F0DE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0DEB">
              <w:t>2024</w:t>
            </w:r>
            <w:r w:rsidR="00817416" w:rsidRPr="006F0DEB">
              <w:t>-202</w:t>
            </w:r>
            <w:r w:rsidRPr="006F0DEB">
              <w:t>9</w:t>
            </w:r>
          </w:p>
        </w:tc>
        <w:tc>
          <w:tcPr>
            <w:tcW w:w="2268" w:type="dxa"/>
            <w:shd w:val="clear" w:color="auto" w:fill="auto"/>
          </w:tcPr>
          <w:p w14:paraId="17B37766" w14:textId="77777777" w:rsidR="00751A4A" w:rsidRPr="006F0DEB" w:rsidRDefault="00187494" w:rsidP="0010095E">
            <w:pPr>
              <w:pStyle w:val="EPLogo"/>
            </w:pPr>
            <w:r w:rsidRPr="006F0DEB">
              <w:rPr>
                <w:noProof/>
                <w:lang w:eastAsia="ja-JP"/>
              </w:rPr>
              <w:drawing>
                <wp:inline distT="0" distB="0" distL="0" distR="0" wp14:anchorId="0CB879BC" wp14:editId="1C22C78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7CC250" w14:textId="77777777" w:rsidR="00D058B8" w:rsidRPr="006F0DEB" w:rsidRDefault="00D058B8" w:rsidP="004C5D52">
      <w:pPr>
        <w:pStyle w:val="LineTop"/>
      </w:pPr>
    </w:p>
    <w:p w14:paraId="4D3732B4" w14:textId="77777777" w:rsidR="00680577" w:rsidRPr="006F0DEB" w:rsidRDefault="00206868" w:rsidP="00680577">
      <w:pPr>
        <w:pStyle w:val="EPBodyTA1"/>
      </w:pPr>
      <w:r w:rsidRPr="006F0DEB">
        <w:t>VEDTAGNE TEKSTER</w:t>
      </w:r>
    </w:p>
    <w:p w14:paraId="59A113B5" w14:textId="77777777" w:rsidR="00D058B8" w:rsidRPr="006F0DEB" w:rsidRDefault="00D058B8" w:rsidP="00D058B8">
      <w:pPr>
        <w:pStyle w:val="LineBottom"/>
      </w:pPr>
    </w:p>
    <w:p w14:paraId="137DF6C6" w14:textId="2E431D92" w:rsidR="00206868" w:rsidRPr="006F0DEB" w:rsidRDefault="00206868" w:rsidP="00206868">
      <w:pPr>
        <w:pStyle w:val="ATHeading1"/>
      </w:pPr>
      <w:bookmarkStart w:id="0" w:name="TANumber"/>
      <w:r w:rsidRPr="006F0DEB">
        <w:t>P10_</w:t>
      </w:r>
      <w:proofErr w:type="gramStart"/>
      <w:r w:rsidRPr="006F0DEB">
        <w:t>TA(</w:t>
      </w:r>
      <w:proofErr w:type="gramEnd"/>
      <w:r w:rsidRPr="006F0DEB">
        <w:t>2026)00</w:t>
      </w:r>
      <w:bookmarkEnd w:id="0"/>
      <w:r w:rsidR="00733DC1">
        <w:t>95</w:t>
      </w:r>
    </w:p>
    <w:p w14:paraId="6270D29C" w14:textId="112A861D" w:rsidR="00206868" w:rsidRPr="006F0DEB" w:rsidRDefault="00687E9C" w:rsidP="00206868">
      <w:pPr>
        <w:pStyle w:val="ATHeading2"/>
      </w:pPr>
      <w:r>
        <w:t xml:space="preserve">Ændring af forordning </w:t>
      </w:r>
      <w:r w:rsidRPr="006F0DEB">
        <w:t xml:space="preserve">(EU) 2021/1232 for så vidt angår </w:t>
      </w:r>
      <w:r>
        <w:t>f</w:t>
      </w:r>
      <w:r w:rsidR="00A60FF4" w:rsidRPr="006F0DEB">
        <w:t>orlængelse af dens anvendelsesperiode</w:t>
      </w:r>
    </w:p>
    <w:p w14:paraId="1D4C8BDB" w14:textId="77777777" w:rsidR="00206868" w:rsidRPr="006F0DEB" w:rsidRDefault="00206868" w:rsidP="00206868">
      <w:pPr>
        <w:rPr>
          <w:i/>
          <w:vanish/>
        </w:rPr>
      </w:pPr>
      <w:r w:rsidRPr="006F0DEB">
        <w:rPr>
          <w:i/>
        </w:rPr>
        <w:fldChar w:fldCharType="begin"/>
      </w:r>
      <w:r w:rsidRPr="006F0DEB">
        <w:rPr>
          <w:i/>
        </w:rPr>
        <w:instrText xml:space="preserve"> TC"(</w:instrText>
      </w:r>
      <w:bookmarkStart w:id="1" w:name="DocNumber"/>
      <w:r w:rsidRPr="006F0DEB">
        <w:rPr>
          <w:i/>
        </w:rPr>
        <w:instrText>A10-0040/2026</w:instrText>
      </w:r>
      <w:bookmarkEnd w:id="1"/>
      <w:r w:rsidRPr="006F0DEB">
        <w:rPr>
          <w:i/>
        </w:rPr>
        <w:instrText xml:space="preserve"> - Ordfører: Birgit Sippel)"\l3 \n&gt; \* MERGEFORMAT </w:instrText>
      </w:r>
      <w:r w:rsidRPr="006F0DEB">
        <w:rPr>
          <w:i/>
        </w:rPr>
        <w:fldChar w:fldCharType="end"/>
      </w:r>
    </w:p>
    <w:p w14:paraId="1C9E1A97" w14:textId="77777777" w:rsidR="00206868" w:rsidRPr="006F0DEB" w:rsidRDefault="00206868" w:rsidP="00206868">
      <w:pPr>
        <w:rPr>
          <w:vanish/>
        </w:rPr>
      </w:pPr>
      <w:bookmarkStart w:id="2" w:name="Commission"/>
      <w:r w:rsidRPr="006F0DEB">
        <w:rPr>
          <w:vanish/>
        </w:rPr>
        <w:t>Udvalget om Borgernes Rettigheder og Retlige og Indre Anliggender</w:t>
      </w:r>
      <w:bookmarkEnd w:id="2"/>
    </w:p>
    <w:p w14:paraId="786ED803" w14:textId="77777777" w:rsidR="00206868" w:rsidRPr="006F0DEB" w:rsidRDefault="00206868" w:rsidP="00206868">
      <w:pPr>
        <w:rPr>
          <w:vanish/>
        </w:rPr>
      </w:pPr>
      <w:bookmarkStart w:id="3" w:name="PE"/>
      <w:r w:rsidRPr="006F0DEB">
        <w:rPr>
          <w:vanish/>
        </w:rPr>
        <w:t>PE784.310</w:t>
      </w:r>
      <w:bookmarkEnd w:id="3"/>
    </w:p>
    <w:p w14:paraId="4F61DE07" w14:textId="270AA584" w:rsidR="00206868" w:rsidRPr="006F0DEB" w:rsidRDefault="00206868" w:rsidP="00206868">
      <w:pPr>
        <w:pStyle w:val="ATHeading3"/>
      </w:pPr>
      <w:bookmarkStart w:id="4" w:name="Sujet"/>
      <w:r w:rsidRPr="006F0DEB">
        <w:t xml:space="preserve">Europa-Parlamentets lovgivningsmæssige beslutning af </w:t>
      </w:r>
      <w:r w:rsidR="008545FF">
        <w:t>26</w:t>
      </w:r>
      <w:r w:rsidRPr="006F0DEB">
        <w:t>.</w:t>
      </w:r>
      <w:r w:rsidR="00A60FF4">
        <w:t xml:space="preserve"> marts</w:t>
      </w:r>
      <w:r w:rsidRPr="006F0DEB">
        <w:t xml:space="preserve"> 2026 om forslag til Europa-Parlamentets og Rådets forordning om ændring af forordning (EU) 2021/1232 for så vidt angår forlængelse af dens anvendelsesperiode</w:t>
      </w:r>
      <w:bookmarkEnd w:id="4"/>
      <w:r w:rsidRPr="006F0DEB">
        <w:t xml:space="preserve"> </w:t>
      </w:r>
      <w:bookmarkStart w:id="5" w:name="References"/>
      <w:r w:rsidRPr="006F0DEB">
        <w:t>(</w:t>
      </w:r>
      <w:proofErr w:type="gramStart"/>
      <w:r w:rsidRPr="006F0DEB">
        <w:t>COM(</w:t>
      </w:r>
      <w:proofErr w:type="gramEnd"/>
      <w:r w:rsidRPr="006F0DEB">
        <w:t>2025)0797 – C10-0370/2025 – 2025/0429(COD))</w:t>
      </w:r>
      <w:bookmarkEnd w:id="5"/>
    </w:p>
    <w:p w14:paraId="788FA4F5" w14:textId="77777777" w:rsidR="00206868" w:rsidRPr="006F0DEB" w:rsidRDefault="00206868" w:rsidP="00206868"/>
    <w:p w14:paraId="116B27D9" w14:textId="77777777" w:rsidR="00221F63" w:rsidRPr="006F0DEB" w:rsidRDefault="00221F63" w:rsidP="00221F63">
      <w:pPr>
        <w:pStyle w:val="NormalBold"/>
      </w:pPr>
      <w:bookmarkStart w:id="6" w:name="TextBodyBegin"/>
      <w:bookmarkEnd w:id="6"/>
      <w:r w:rsidRPr="006F0DEB">
        <w:t>(Almindelig lovgivningsprocedure: førstebehandling)</w:t>
      </w:r>
    </w:p>
    <w:p w14:paraId="56E45C90" w14:textId="1B60D54B" w:rsidR="00221F63" w:rsidRPr="006F0DEB" w:rsidRDefault="00221F63" w:rsidP="00221F63">
      <w:pPr>
        <w:pStyle w:val="EPComma"/>
      </w:pPr>
      <w:r w:rsidRPr="006F0DEB">
        <w:rPr>
          <w:i/>
        </w:rPr>
        <w:t>Europa-Parlamentet,</w:t>
      </w:r>
    </w:p>
    <w:p w14:paraId="11BFEB03" w14:textId="310DD82B" w:rsidR="00221F63" w:rsidRPr="006F0DEB" w:rsidRDefault="00221F63" w:rsidP="00221F63">
      <w:pPr>
        <w:pStyle w:val="NormalHanging12a"/>
      </w:pPr>
      <w:r w:rsidRPr="006F0DEB">
        <w:t>–</w:t>
      </w:r>
      <w:r w:rsidRPr="006F0DEB">
        <w:tab/>
        <w:t>der henviser til Kommissionens forslag til Europa-Parlamentet og Rådet (</w:t>
      </w:r>
      <w:proofErr w:type="gramStart"/>
      <w:r w:rsidRPr="006F0DEB">
        <w:t>COM(</w:t>
      </w:r>
      <w:proofErr w:type="gramEnd"/>
      <w:r w:rsidRPr="006F0DEB">
        <w:t>2025)0797),</w:t>
      </w:r>
    </w:p>
    <w:p w14:paraId="0AA79EBF" w14:textId="7EB7C940" w:rsidR="00221F63" w:rsidRPr="006F0DEB" w:rsidRDefault="00221F63" w:rsidP="00221F63">
      <w:pPr>
        <w:pStyle w:val="NormalHanging12a"/>
      </w:pPr>
      <w:r w:rsidRPr="006F0DEB">
        <w:t>–</w:t>
      </w:r>
      <w:r w:rsidRPr="006F0DEB">
        <w:tab/>
        <w:t>der henviser til artikel 294, stk. 2, og artikel 16, stk. 2</w:t>
      </w:r>
      <w:r w:rsidR="005F2FF6">
        <w:t>,</w:t>
      </w:r>
      <w:r w:rsidRPr="006F0DEB">
        <w:t xml:space="preserve"> og artikel 114, stk. 1, i traktaten om Den Europæiske Unions funktionsmåde, på grundlag af hvilke Kommissionen har forelagt forslaget for Parlamentet (C10</w:t>
      </w:r>
      <w:r w:rsidRPr="006F0DEB">
        <w:noBreakHyphen/>
        <w:t>0370/2025),</w:t>
      </w:r>
    </w:p>
    <w:p w14:paraId="5B81B1E5" w14:textId="71F8D9AD" w:rsidR="00221F63" w:rsidRDefault="00221F63" w:rsidP="00221F63">
      <w:pPr>
        <w:pStyle w:val="NormalHanging12a"/>
      </w:pPr>
      <w:r w:rsidRPr="006F0DEB">
        <w:t>–</w:t>
      </w:r>
      <w:r w:rsidRPr="006F0DEB">
        <w:tab/>
        <w:t>der henviser til artikel 294, stk. 3, i traktaten om Den Europæiske Unions funktionsmåde,</w:t>
      </w:r>
    </w:p>
    <w:p w14:paraId="55749667" w14:textId="247B26F5" w:rsidR="00BC5FB5" w:rsidRPr="006F0DEB" w:rsidRDefault="00BC5FB5" w:rsidP="00221F63">
      <w:pPr>
        <w:pStyle w:val="NormalHanging12a"/>
      </w:pPr>
      <w:r w:rsidRPr="006F0DEB">
        <w:t>–</w:t>
      </w:r>
      <w:r w:rsidRPr="006F0DEB">
        <w:tab/>
        <w:t>der henviser</w:t>
      </w:r>
      <w:r w:rsidRPr="009667BC">
        <w:rPr>
          <w:rFonts w:eastAsia="Aptos"/>
          <w:noProof/>
          <w:szCs w:val="24"/>
          <w:lang w:eastAsia="en-US"/>
        </w:rPr>
        <w:t xml:space="preserve"> til udtalelse </w:t>
      </w:r>
      <w:r>
        <w:rPr>
          <w:rFonts w:eastAsia="Aptos"/>
          <w:noProof/>
          <w:szCs w:val="24"/>
          <w:lang w:eastAsia="en-US"/>
        </w:rPr>
        <w:t xml:space="preserve">af 21. januar 2026 </w:t>
      </w:r>
      <w:r w:rsidRPr="009667BC">
        <w:rPr>
          <w:rFonts w:eastAsia="Aptos"/>
          <w:noProof/>
          <w:szCs w:val="24"/>
          <w:lang w:eastAsia="en-US"/>
        </w:rPr>
        <w:t>fra Det Europæiske Økonomiske og Sociale Udvalg</w:t>
      </w:r>
      <w:r w:rsidRPr="009667BC">
        <w:rPr>
          <w:rFonts w:eastAsia="Aptos"/>
          <w:noProof/>
          <w:szCs w:val="24"/>
          <w:vertAlign w:val="superscript"/>
          <w:lang w:val="en-GB" w:eastAsia="en-US"/>
        </w:rPr>
        <w:footnoteReference w:id="1"/>
      </w:r>
      <w:r w:rsidRPr="009667BC">
        <w:rPr>
          <w:rFonts w:eastAsia="Aptos"/>
          <w:noProof/>
          <w:szCs w:val="24"/>
          <w:lang w:eastAsia="en-US"/>
        </w:rPr>
        <w:t>,</w:t>
      </w:r>
    </w:p>
    <w:p w14:paraId="199273FD" w14:textId="3E6D7740" w:rsidR="00221F63" w:rsidRPr="006F0DEB" w:rsidRDefault="00221F63" w:rsidP="00221F63">
      <w:pPr>
        <w:pStyle w:val="NormalHanging12a"/>
      </w:pPr>
      <w:r w:rsidRPr="006F0DEB">
        <w:t>–</w:t>
      </w:r>
      <w:r w:rsidRPr="006F0DEB">
        <w:tab/>
        <w:t>der henviser til forretningsordenens artikel 60,</w:t>
      </w:r>
    </w:p>
    <w:p w14:paraId="22786390" w14:textId="61D9A1E9" w:rsidR="00221F63" w:rsidRPr="006F0DEB" w:rsidRDefault="00221F63" w:rsidP="00221F63">
      <w:pPr>
        <w:pStyle w:val="NormalHanging12a"/>
      </w:pPr>
      <w:r w:rsidRPr="006F0DEB">
        <w:t>–</w:t>
      </w:r>
      <w:r w:rsidRPr="006F0DEB">
        <w:tab/>
        <w:t>der henviser til betænkning fra Udvalget om Borgernes Rettigheder og Retlige og Indre Anliggender (A10-0040/2026),</w:t>
      </w:r>
    </w:p>
    <w:p w14:paraId="7F905D0E" w14:textId="51D8EF02" w:rsidR="00221F63" w:rsidRPr="006F0DEB" w:rsidRDefault="00221F63" w:rsidP="00221F63">
      <w:pPr>
        <w:pStyle w:val="NormalHanging12a"/>
      </w:pPr>
      <w:r w:rsidRPr="006F0DEB">
        <w:t>1.</w:t>
      </w:r>
      <w:r w:rsidRPr="006F0DEB">
        <w:tab/>
      </w:r>
      <w:r w:rsidR="00937160">
        <w:t>forkaster Kommissionens forslag</w:t>
      </w:r>
      <w:r w:rsidRPr="006F0DEB">
        <w:t>;</w:t>
      </w:r>
    </w:p>
    <w:p w14:paraId="604EE8CE" w14:textId="0A55FDEA" w:rsidR="00221F63" w:rsidRPr="006F0DEB" w:rsidRDefault="00221F63" w:rsidP="00221F63">
      <w:pPr>
        <w:pStyle w:val="NormalHanging12a"/>
      </w:pPr>
      <w:r w:rsidRPr="006F0DEB">
        <w:t>2.</w:t>
      </w:r>
      <w:r w:rsidRPr="006F0DEB">
        <w:tab/>
      </w:r>
      <w:r w:rsidR="00937160">
        <w:t>opfordrer Kommissionen til at tage sit forslag tilbage</w:t>
      </w:r>
      <w:r w:rsidRPr="006F0DEB">
        <w:t>;</w:t>
      </w:r>
    </w:p>
    <w:p w14:paraId="6A83CC1B" w14:textId="144FE229" w:rsidR="00E365E1" w:rsidRDefault="00221F63" w:rsidP="00A60FF4">
      <w:pPr>
        <w:pStyle w:val="NormalHanging12a"/>
      </w:pPr>
      <w:r w:rsidRPr="006F0DEB">
        <w:lastRenderedPageBreak/>
        <w:t>3.</w:t>
      </w:r>
      <w:r w:rsidRPr="006F0DEB">
        <w:tab/>
        <w:t>pålægger sin formand at sende Parlamentets holdning til Rådet og Kommissionen samt til de nationale parlamenter.</w:t>
      </w:r>
    </w:p>
    <w:p w14:paraId="6A2A9C41" w14:textId="5B142519" w:rsidR="009667BC" w:rsidRPr="006F0DEB" w:rsidRDefault="009667BC" w:rsidP="009667BC">
      <w:pPr>
        <w:pStyle w:val="NormalHanging12a"/>
      </w:pPr>
    </w:p>
    <w:sectPr w:rsidR="009667BC" w:rsidRPr="006F0DEB" w:rsidSect="006F0D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52C68" w14:textId="77777777" w:rsidR="00206868" w:rsidRPr="006F0DEB" w:rsidRDefault="00206868">
      <w:r w:rsidRPr="006F0DEB">
        <w:separator/>
      </w:r>
    </w:p>
  </w:endnote>
  <w:endnote w:type="continuationSeparator" w:id="0">
    <w:p w14:paraId="15E54143" w14:textId="77777777" w:rsidR="00206868" w:rsidRPr="006F0DEB" w:rsidRDefault="00206868">
      <w:r w:rsidRPr="006F0D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4129E" w14:textId="77777777" w:rsidR="00064002" w:rsidRPr="006F0DE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38652" w14:textId="77777777" w:rsidR="00064002" w:rsidRPr="006F0DE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2B805" w14:textId="77777777" w:rsidR="00064002" w:rsidRPr="006F0DE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E93B1" w14:textId="77777777" w:rsidR="00206868" w:rsidRPr="006F0DEB" w:rsidRDefault="00206868">
      <w:r w:rsidRPr="006F0DEB">
        <w:separator/>
      </w:r>
    </w:p>
  </w:footnote>
  <w:footnote w:type="continuationSeparator" w:id="0">
    <w:p w14:paraId="12EAC60A" w14:textId="77777777" w:rsidR="00206868" w:rsidRPr="006F0DEB" w:rsidRDefault="00206868">
      <w:r w:rsidRPr="006F0DEB">
        <w:continuationSeparator/>
      </w:r>
    </w:p>
  </w:footnote>
  <w:footnote w:id="1">
    <w:p w14:paraId="32998256" w14:textId="3F4A522B" w:rsidR="00BC5FB5" w:rsidRPr="003E4668" w:rsidRDefault="00BC5FB5" w:rsidP="00937160">
      <w:pPr>
        <w:pStyle w:val="FootnoteText"/>
        <w:ind w:left="567" w:hanging="567"/>
        <w:rPr>
          <w:sz w:val="24"/>
          <w:szCs w:val="24"/>
          <w:lang w:val="da-DK"/>
        </w:rPr>
      </w:pPr>
      <w:r w:rsidRPr="003E4668">
        <w:rPr>
          <w:rStyle w:val="FootnoteReference"/>
          <w:sz w:val="24"/>
          <w:szCs w:val="24"/>
        </w:rPr>
        <w:footnoteRef/>
      </w:r>
      <w:r w:rsidRPr="003E4668">
        <w:rPr>
          <w:sz w:val="24"/>
          <w:szCs w:val="24"/>
          <w:lang w:val="da-DK"/>
        </w:rPr>
        <w:tab/>
      </w:r>
      <w:r>
        <w:rPr>
          <w:rFonts w:eastAsiaTheme="minorEastAsia"/>
          <w:sz w:val="24"/>
          <w:szCs w:val="24"/>
          <w:lang w:val="da-DK"/>
        </w:rPr>
        <w:t>E</w:t>
      </w:r>
      <w:r w:rsidRPr="00E037F1">
        <w:rPr>
          <w:rFonts w:eastAsiaTheme="minorEastAsia"/>
          <w:sz w:val="24"/>
          <w:szCs w:val="24"/>
          <w:lang w:val="da-DK"/>
        </w:rPr>
        <w:t>ndnu ikke offentliggjort i EUT</w:t>
      </w:r>
      <w:r>
        <w:rPr>
          <w:rFonts w:eastAsiaTheme="minorEastAsia"/>
          <w:sz w:val="24"/>
          <w:szCs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2E109" w14:textId="77777777" w:rsidR="00064002" w:rsidRPr="006F0DE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419EC" w14:textId="77777777" w:rsidR="00064002" w:rsidRPr="006F0DE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9A42F" w14:textId="77777777" w:rsidR="00064002" w:rsidRPr="006F0DE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49997210">
    <w:abstractNumId w:val="9"/>
  </w:num>
  <w:num w:numId="2" w16cid:durableId="2002342322">
    <w:abstractNumId w:val="9"/>
  </w:num>
  <w:num w:numId="3" w16cid:durableId="1826434046">
    <w:abstractNumId w:val="7"/>
  </w:num>
  <w:num w:numId="4" w16cid:durableId="671226942">
    <w:abstractNumId w:val="7"/>
  </w:num>
  <w:num w:numId="5" w16cid:durableId="1239092948">
    <w:abstractNumId w:val="6"/>
  </w:num>
  <w:num w:numId="6" w16cid:durableId="1110856463">
    <w:abstractNumId w:val="6"/>
  </w:num>
  <w:num w:numId="7" w16cid:durableId="306857028">
    <w:abstractNumId w:val="5"/>
  </w:num>
  <w:num w:numId="8" w16cid:durableId="1586719648">
    <w:abstractNumId w:val="5"/>
  </w:num>
  <w:num w:numId="9" w16cid:durableId="581187184">
    <w:abstractNumId w:val="4"/>
  </w:num>
  <w:num w:numId="10" w16cid:durableId="1516918504">
    <w:abstractNumId w:val="4"/>
  </w:num>
  <w:num w:numId="11" w16cid:durableId="1887595394">
    <w:abstractNumId w:val="8"/>
  </w:num>
  <w:num w:numId="12" w16cid:durableId="1964722945">
    <w:abstractNumId w:val="8"/>
  </w:num>
  <w:num w:numId="13" w16cid:durableId="1938367960">
    <w:abstractNumId w:val="3"/>
  </w:num>
  <w:num w:numId="14" w16cid:durableId="178011416">
    <w:abstractNumId w:val="3"/>
  </w:num>
  <w:num w:numId="15" w16cid:durableId="951980789">
    <w:abstractNumId w:val="2"/>
  </w:num>
  <w:num w:numId="16" w16cid:durableId="1140686572">
    <w:abstractNumId w:val="2"/>
  </w:num>
  <w:num w:numId="17" w16cid:durableId="1061487337">
    <w:abstractNumId w:val="1"/>
  </w:num>
  <w:num w:numId="18" w16cid:durableId="2071734634">
    <w:abstractNumId w:val="1"/>
  </w:num>
  <w:num w:numId="19" w16cid:durableId="1661541986">
    <w:abstractNumId w:val="0"/>
  </w:num>
  <w:num w:numId="20" w16cid:durableId="798572667">
    <w:abstractNumId w:val="0"/>
  </w:num>
  <w:num w:numId="21" w16cid:durableId="1594901163">
    <w:abstractNumId w:val="9"/>
  </w:num>
  <w:num w:numId="22" w16cid:durableId="1106191721">
    <w:abstractNumId w:val="7"/>
  </w:num>
  <w:num w:numId="23" w16cid:durableId="1421027847">
    <w:abstractNumId w:val="6"/>
  </w:num>
  <w:num w:numId="24" w16cid:durableId="2146265516">
    <w:abstractNumId w:val="5"/>
  </w:num>
  <w:num w:numId="25" w16cid:durableId="158353560">
    <w:abstractNumId w:val="4"/>
  </w:num>
  <w:num w:numId="26" w16cid:durableId="1335448652">
    <w:abstractNumId w:val="8"/>
  </w:num>
  <w:num w:numId="27" w16cid:durableId="696387564">
    <w:abstractNumId w:val="3"/>
  </w:num>
  <w:num w:numId="28" w16cid:durableId="351105868">
    <w:abstractNumId w:val="2"/>
  </w:num>
  <w:num w:numId="29" w16cid:durableId="1519812029">
    <w:abstractNumId w:val="1"/>
  </w:num>
  <w:num w:numId="30" w16cid:durableId="496960515">
    <w:abstractNumId w:val="0"/>
  </w:num>
  <w:num w:numId="31" w16cid:durableId="243300906">
    <w:abstractNumId w:val="9"/>
  </w:num>
  <w:num w:numId="32" w16cid:durableId="1720202850">
    <w:abstractNumId w:val="7"/>
  </w:num>
  <w:num w:numId="33" w16cid:durableId="389578080">
    <w:abstractNumId w:val="6"/>
  </w:num>
  <w:num w:numId="34" w16cid:durableId="2016376228">
    <w:abstractNumId w:val="5"/>
  </w:num>
  <w:num w:numId="35" w16cid:durableId="1711687204">
    <w:abstractNumId w:val="4"/>
  </w:num>
  <w:num w:numId="36" w16cid:durableId="104664426">
    <w:abstractNumId w:val="8"/>
  </w:num>
  <w:num w:numId="37" w16cid:durableId="1741058115">
    <w:abstractNumId w:val="3"/>
  </w:num>
  <w:num w:numId="38" w16cid:durableId="1740901726">
    <w:abstractNumId w:val="2"/>
  </w:num>
  <w:num w:numId="39" w16cid:durableId="432167463">
    <w:abstractNumId w:val="1"/>
  </w:num>
  <w:num w:numId="40" w16cid:durableId="1363479488">
    <w:abstractNumId w:val="0"/>
  </w:num>
  <w:num w:numId="41" w16cid:durableId="1882670028">
    <w:abstractNumId w:val="10"/>
  </w:num>
  <w:num w:numId="42" w16cid:durableId="351998457">
    <w:abstractNumId w:val="10"/>
  </w:num>
  <w:num w:numId="43" w16cid:durableId="431248481">
    <w:abstractNumId w:val="10"/>
  </w:num>
  <w:num w:numId="44" w16cid:durableId="10271742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0/2026"/>
    <w:docVar w:name="dvlangue" w:val="DA"/>
    <w:docVar w:name="dvnumam" w:val="0"/>
    <w:docVar w:name="dvpe" w:val="784.310"/>
    <w:docVar w:name="dvrapporteur" w:val="Ordfører: "/>
    <w:docVar w:name="dvstar" w:val="***I"/>
    <w:docVar w:name="dvtitre" w:val="Europa-Parlamentets lovgivningsmæssige beslutning af xx.xx 2026 om forslag til Europa-Parlamentets og Rådets forordning om ændring af forordning (EU) 2021/1232 for så vidt angår forlængelse af dens anvendelsesperiode(COM(2025)0797 – C10-0370/2025 – 2025/0429(COD))"/>
  </w:docVars>
  <w:rsids>
    <w:rsidRoot w:val="00206868"/>
    <w:rsid w:val="00002272"/>
    <w:rsid w:val="00064002"/>
    <w:rsid w:val="000677B9"/>
    <w:rsid w:val="000831BA"/>
    <w:rsid w:val="000A42CC"/>
    <w:rsid w:val="000D24E5"/>
    <w:rsid w:val="000D6635"/>
    <w:rsid w:val="000E7DD9"/>
    <w:rsid w:val="0010095E"/>
    <w:rsid w:val="00125B37"/>
    <w:rsid w:val="00172ADA"/>
    <w:rsid w:val="00182ACB"/>
    <w:rsid w:val="00187494"/>
    <w:rsid w:val="001F30DB"/>
    <w:rsid w:val="001F32AE"/>
    <w:rsid w:val="00206868"/>
    <w:rsid w:val="00221F63"/>
    <w:rsid w:val="002444F8"/>
    <w:rsid w:val="002767FF"/>
    <w:rsid w:val="002B18FE"/>
    <w:rsid w:val="002B5493"/>
    <w:rsid w:val="002C5735"/>
    <w:rsid w:val="002D6FB1"/>
    <w:rsid w:val="00343214"/>
    <w:rsid w:val="00361C00"/>
    <w:rsid w:val="00395FA1"/>
    <w:rsid w:val="003E15D4"/>
    <w:rsid w:val="003E4668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70FB"/>
    <w:rsid w:val="00545827"/>
    <w:rsid w:val="00560270"/>
    <w:rsid w:val="005C2568"/>
    <w:rsid w:val="005F1B17"/>
    <w:rsid w:val="005F2FF6"/>
    <w:rsid w:val="006037C0"/>
    <w:rsid w:val="006158AC"/>
    <w:rsid w:val="006631B6"/>
    <w:rsid w:val="00680577"/>
    <w:rsid w:val="00687E9C"/>
    <w:rsid w:val="006F0DEB"/>
    <w:rsid w:val="006F74FA"/>
    <w:rsid w:val="00704161"/>
    <w:rsid w:val="00710D92"/>
    <w:rsid w:val="00723E45"/>
    <w:rsid w:val="00731ADD"/>
    <w:rsid w:val="00733DC1"/>
    <w:rsid w:val="00734777"/>
    <w:rsid w:val="00747932"/>
    <w:rsid w:val="00751A4A"/>
    <w:rsid w:val="00756632"/>
    <w:rsid w:val="00762C74"/>
    <w:rsid w:val="00786EC0"/>
    <w:rsid w:val="00795913"/>
    <w:rsid w:val="007D1690"/>
    <w:rsid w:val="007E22AD"/>
    <w:rsid w:val="00817416"/>
    <w:rsid w:val="00842779"/>
    <w:rsid w:val="008545FF"/>
    <w:rsid w:val="00865F67"/>
    <w:rsid w:val="00881A7B"/>
    <w:rsid w:val="008840E5"/>
    <w:rsid w:val="00887B3E"/>
    <w:rsid w:val="008C2AC6"/>
    <w:rsid w:val="00930C23"/>
    <w:rsid w:val="0093193B"/>
    <w:rsid w:val="00937160"/>
    <w:rsid w:val="009509D8"/>
    <w:rsid w:val="00950B64"/>
    <w:rsid w:val="00952ED7"/>
    <w:rsid w:val="009667BC"/>
    <w:rsid w:val="00981893"/>
    <w:rsid w:val="009F72AB"/>
    <w:rsid w:val="00A1687D"/>
    <w:rsid w:val="00A43E52"/>
    <w:rsid w:val="00A44B58"/>
    <w:rsid w:val="00A4678D"/>
    <w:rsid w:val="00A60FF4"/>
    <w:rsid w:val="00A778C7"/>
    <w:rsid w:val="00A81380"/>
    <w:rsid w:val="00AB441E"/>
    <w:rsid w:val="00AB6293"/>
    <w:rsid w:val="00AE0928"/>
    <w:rsid w:val="00AF3B82"/>
    <w:rsid w:val="00B04F89"/>
    <w:rsid w:val="00B12E95"/>
    <w:rsid w:val="00B22876"/>
    <w:rsid w:val="00B558F0"/>
    <w:rsid w:val="00BC5FB5"/>
    <w:rsid w:val="00BD48FE"/>
    <w:rsid w:val="00BD7BD8"/>
    <w:rsid w:val="00BE6ADC"/>
    <w:rsid w:val="00C05BFE"/>
    <w:rsid w:val="00C114B7"/>
    <w:rsid w:val="00C23CD4"/>
    <w:rsid w:val="00C40E5E"/>
    <w:rsid w:val="00C61C0C"/>
    <w:rsid w:val="00C941CB"/>
    <w:rsid w:val="00CC2357"/>
    <w:rsid w:val="00CD734F"/>
    <w:rsid w:val="00CF071A"/>
    <w:rsid w:val="00D058B8"/>
    <w:rsid w:val="00D56C11"/>
    <w:rsid w:val="00D834A0"/>
    <w:rsid w:val="00D872DF"/>
    <w:rsid w:val="00D91E21"/>
    <w:rsid w:val="00DA7FCD"/>
    <w:rsid w:val="00E037F1"/>
    <w:rsid w:val="00E05606"/>
    <w:rsid w:val="00E365E1"/>
    <w:rsid w:val="00E43954"/>
    <w:rsid w:val="00E820A4"/>
    <w:rsid w:val="00EB006A"/>
    <w:rsid w:val="00EB4772"/>
    <w:rsid w:val="00ED169E"/>
    <w:rsid w:val="00ED4235"/>
    <w:rsid w:val="00EE464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41B147"/>
  <w15:chartTrackingRefBased/>
  <w15:docId w15:val="{66F72C3B-133B-4B72-993B-6F763C4F6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BVI fnr,Footnote Reference Superscript,Footnote symbol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21F63"/>
    <w:pPr>
      <w:spacing w:before="480" w:after="240"/>
    </w:pPr>
  </w:style>
  <w:style w:type="paragraph" w:customStyle="1" w:styleId="NormalBold">
    <w:name w:val="NormalBold"/>
    <w:basedOn w:val="Normal"/>
    <w:rsid w:val="00221F63"/>
    <w:rPr>
      <w:b/>
    </w:rPr>
  </w:style>
  <w:style w:type="paragraph" w:customStyle="1" w:styleId="NormalHanging12a">
    <w:name w:val="NormalHanging12a"/>
    <w:basedOn w:val="Normal"/>
    <w:rsid w:val="00221F6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60FF4"/>
    <w:rPr>
      <w:sz w:val="24"/>
      <w:lang w:val="da-DK"/>
    </w:rPr>
  </w:style>
  <w:style w:type="character" w:styleId="CommentReference">
    <w:name w:val="annotation reference"/>
    <w:basedOn w:val="DefaultParagraphFont"/>
    <w:rsid w:val="00C114B7"/>
    <w:rPr>
      <w:sz w:val="16"/>
      <w:szCs w:val="16"/>
    </w:rPr>
  </w:style>
  <w:style w:type="paragraph" w:styleId="CommentText">
    <w:name w:val="annotation text"/>
    <w:basedOn w:val="Normal"/>
    <w:link w:val="CommentTextChar"/>
    <w:rsid w:val="00C114B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114B7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C114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114B7"/>
    <w:rPr>
      <w:b/>
      <w:bCs/>
      <w:lang w:val="da-DK"/>
    </w:rPr>
  </w:style>
  <w:style w:type="character" w:customStyle="1" w:styleId="Hyperlink1">
    <w:name w:val="Hyperlink1"/>
    <w:basedOn w:val="DefaultParagraphFont"/>
    <w:uiPriority w:val="99"/>
    <w:unhideWhenUsed/>
    <w:rsid w:val="009667BC"/>
    <w:rPr>
      <w:color w:val="0563C1"/>
      <w:u w:val="single"/>
    </w:rPr>
  </w:style>
  <w:style w:type="character" w:styleId="Hyperlink">
    <w:name w:val="Hyperlink"/>
    <w:basedOn w:val="DefaultParagraphFont"/>
    <w:rsid w:val="009667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0E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2026-03-26T12:47:00Z</dcterms:created>
  <dcterms:modified xsi:type="dcterms:W3CDTF">2026-03-26T12:47:00Z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P10_TA-PROV(2026)0000_A10-0040_2026_DA_net_</vt:lpwstr>
  </property>
  <property fmtid="{D5CDD505-2E9C-101B-9397-08002B2CF9AE}" pid="4" name="&lt;Type&gt;">
    <vt:lpwstr>RR</vt:lpwstr>
  </property>
</Properties>
</file>