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298C" w14:paraId="20B338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F41D8F" w14:textId="77777777" w:rsidR="00751A4A" w:rsidRPr="00B7298C" w:rsidRDefault="00A65F56" w:rsidP="0010095E">
            <w:pPr>
              <w:pStyle w:val="EPName"/>
            </w:pPr>
            <w:r w:rsidRPr="00B7298C">
              <w:t>Parlamento Europeo</w:t>
            </w:r>
          </w:p>
          <w:p w14:paraId="201EC806" w14:textId="77777777" w:rsidR="00751A4A" w:rsidRPr="00B729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298C">
              <w:t>2024</w:t>
            </w:r>
            <w:r w:rsidR="00817416" w:rsidRPr="00B7298C">
              <w:t>-202</w:t>
            </w:r>
            <w:r w:rsidRPr="00B7298C">
              <w:t>9</w:t>
            </w:r>
          </w:p>
        </w:tc>
        <w:tc>
          <w:tcPr>
            <w:tcW w:w="2268" w:type="dxa"/>
            <w:shd w:val="clear" w:color="auto" w:fill="auto"/>
          </w:tcPr>
          <w:p w14:paraId="57EC562F" w14:textId="77777777" w:rsidR="00751A4A" w:rsidRPr="00B7298C" w:rsidRDefault="00187494" w:rsidP="0010095E">
            <w:pPr>
              <w:pStyle w:val="EPLogo"/>
            </w:pPr>
            <w:r w:rsidRPr="00B7298C">
              <w:rPr>
                <w:noProof/>
                <w:lang w:eastAsia="ja-JP"/>
              </w:rPr>
              <w:drawing>
                <wp:inline distT="0" distB="0" distL="0" distR="0" wp14:anchorId="022F67C7" wp14:editId="6FAD00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8277D3" w14:textId="77777777" w:rsidR="00D058B8" w:rsidRPr="00B7298C" w:rsidRDefault="00D058B8" w:rsidP="004C5D52">
      <w:pPr>
        <w:pStyle w:val="LineTop"/>
      </w:pPr>
    </w:p>
    <w:p w14:paraId="263B9B71" w14:textId="77777777" w:rsidR="00680577" w:rsidRPr="00B7298C" w:rsidRDefault="00A65F56" w:rsidP="00680577">
      <w:pPr>
        <w:pStyle w:val="EPBodyTA1"/>
      </w:pPr>
      <w:r w:rsidRPr="00B7298C">
        <w:t>TEXTOS APROBADOS</w:t>
      </w:r>
    </w:p>
    <w:p w14:paraId="57C703F5" w14:textId="77777777" w:rsidR="00D058B8" w:rsidRPr="00B7298C" w:rsidRDefault="00D058B8" w:rsidP="00D058B8">
      <w:pPr>
        <w:pStyle w:val="LineBottom"/>
      </w:pPr>
    </w:p>
    <w:p w14:paraId="08EFB9E8" w14:textId="5209C67F" w:rsidR="00A65F56" w:rsidRPr="00B7298C" w:rsidRDefault="00A65F56" w:rsidP="00A65F56">
      <w:pPr>
        <w:pStyle w:val="ATHeading1"/>
      </w:pPr>
      <w:bookmarkStart w:id="0" w:name="TANumber"/>
      <w:r w:rsidRPr="00B7298C">
        <w:t>P10_</w:t>
      </w:r>
      <w:proofErr w:type="gramStart"/>
      <w:r w:rsidRPr="00B7298C">
        <w:t>TA(</w:t>
      </w:r>
      <w:proofErr w:type="gramEnd"/>
      <w:r w:rsidRPr="00B7298C">
        <w:t>2026)00</w:t>
      </w:r>
      <w:r w:rsidR="00C2303A" w:rsidRPr="00B7298C">
        <w:t>95</w:t>
      </w:r>
      <w:bookmarkEnd w:id="0"/>
    </w:p>
    <w:p w14:paraId="6FBB9BF8" w14:textId="36265564" w:rsidR="00A65F56" w:rsidRPr="00B7298C" w:rsidRDefault="00F61CCF" w:rsidP="00A65F56">
      <w:pPr>
        <w:pStyle w:val="ATHeading2"/>
      </w:pPr>
      <w:bookmarkStart w:id="1" w:name="title"/>
      <w:bookmarkStart w:id="2" w:name="_Hlk225423912"/>
      <w:r w:rsidRPr="00B7298C">
        <w:t>Modificación del</w:t>
      </w:r>
      <w:r w:rsidR="00A65F56" w:rsidRPr="00B7298C">
        <w:t xml:space="preserve"> Reglamento (UE) 2021/1232 en lo que respecta a la prórroga de su período de aplicación</w:t>
      </w:r>
      <w:bookmarkEnd w:id="1"/>
    </w:p>
    <w:bookmarkEnd w:id="2"/>
    <w:p w14:paraId="0B5B7D1F" w14:textId="77777777" w:rsidR="00A65F56" w:rsidRPr="00B7298C" w:rsidRDefault="00A65F56" w:rsidP="00A65F56">
      <w:pPr>
        <w:rPr>
          <w:i/>
          <w:vanish/>
        </w:rPr>
      </w:pPr>
      <w:r w:rsidRPr="00B7298C">
        <w:rPr>
          <w:i/>
        </w:rPr>
        <w:fldChar w:fldCharType="begin"/>
      </w:r>
      <w:r w:rsidRPr="00B7298C">
        <w:rPr>
          <w:i/>
        </w:rPr>
        <w:instrText xml:space="preserve"> TC"(</w:instrText>
      </w:r>
      <w:bookmarkStart w:id="3" w:name="DocNumber"/>
      <w:r w:rsidRPr="00B7298C">
        <w:rPr>
          <w:i/>
        </w:rPr>
        <w:instrText>A10-0040/2026</w:instrText>
      </w:r>
      <w:bookmarkEnd w:id="3"/>
      <w:r w:rsidRPr="00B7298C">
        <w:rPr>
          <w:i/>
        </w:rPr>
        <w:instrText xml:space="preserve"> - Ponente: </w:instrText>
      </w:r>
      <w:proofErr w:type="spellStart"/>
      <w:r w:rsidRPr="00B7298C">
        <w:rPr>
          <w:i/>
        </w:rPr>
        <w:instrText>Birgit</w:instrText>
      </w:r>
      <w:proofErr w:type="spellEnd"/>
      <w:r w:rsidRPr="00B7298C">
        <w:rPr>
          <w:i/>
        </w:rPr>
        <w:instrText xml:space="preserve"> </w:instrText>
      </w:r>
      <w:proofErr w:type="spellStart"/>
      <w:r w:rsidRPr="00B7298C">
        <w:rPr>
          <w:i/>
        </w:rPr>
        <w:instrText>Sippel</w:instrText>
      </w:r>
      <w:proofErr w:type="spellEnd"/>
      <w:r w:rsidRPr="00B7298C">
        <w:rPr>
          <w:i/>
        </w:rPr>
        <w:instrText xml:space="preserve">)"\l3 \n&gt; \* MERGEFORMAT </w:instrText>
      </w:r>
      <w:r w:rsidRPr="00B7298C">
        <w:rPr>
          <w:i/>
        </w:rPr>
        <w:fldChar w:fldCharType="end"/>
      </w:r>
    </w:p>
    <w:p w14:paraId="4FDBC3D6" w14:textId="77777777" w:rsidR="00A65F56" w:rsidRPr="00B7298C" w:rsidRDefault="00A65F56" w:rsidP="00A65F56">
      <w:pPr>
        <w:rPr>
          <w:vanish/>
        </w:rPr>
      </w:pPr>
      <w:bookmarkStart w:id="4" w:name="Commission"/>
      <w:r w:rsidRPr="00B7298C">
        <w:rPr>
          <w:vanish/>
        </w:rPr>
        <w:t>Comisión de Libertades Civiles, Justicia y Asuntos de Interior</w:t>
      </w:r>
      <w:bookmarkEnd w:id="4"/>
    </w:p>
    <w:p w14:paraId="3CF4BDB6" w14:textId="77777777" w:rsidR="00A65F56" w:rsidRPr="00B7298C" w:rsidRDefault="00A65F56" w:rsidP="00A65F56">
      <w:pPr>
        <w:rPr>
          <w:vanish/>
        </w:rPr>
      </w:pPr>
      <w:bookmarkStart w:id="5" w:name="PE"/>
      <w:r w:rsidRPr="00B7298C">
        <w:rPr>
          <w:vanish/>
        </w:rPr>
        <w:t>PE784.310</w:t>
      </w:r>
      <w:bookmarkEnd w:id="5"/>
    </w:p>
    <w:p w14:paraId="141EC836" w14:textId="77777777" w:rsidR="00A65F56" w:rsidRPr="00B7298C" w:rsidRDefault="00A65F56" w:rsidP="00A65F56">
      <w:pPr>
        <w:pStyle w:val="ATHeading3"/>
      </w:pPr>
      <w:bookmarkStart w:id="6" w:name="Sujet"/>
      <w:r w:rsidRPr="00B7298C">
        <w:t>Resolución legislativa del Parlamento Europeo, de 26 de marzo de 2026, sobre la propuesta de Reglamento del Parlamento Europeo y del Consejo por el que se modifica el Reglamento (UE) 2021/1232 en lo que respecta a la prórroga de su período de aplicación</w:t>
      </w:r>
      <w:bookmarkEnd w:id="6"/>
      <w:r w:rsidRPr="00B7298C">
        <w:t xml:space="preserve"> </w:t>
      </w:r>
      <w:bookmarkStart w:id="7" w:name="References"/>
      <w:r w:rsidRPr="00B7298C">
        <w:t>(COM(2025)0797 – C10-0370/2025 – 2025/0429(COD))</w:t>
      </w:r>
      <w:bookmarkEnd w:id="7"/>
    </w:p>
    <w:p w14:paraId="7BF371F7" w14:textId="77777777" w:rsidR="00A65F56" w:rsidRPr="00B7298C" w:rsidRDefault="00A65F56" w:rsidP="00A65F56"/>
    <w:p w14:paraId="4DB2BF13" w14:textId="77777777" w:rsidR="00C04612" w:rsidRPr="00B7298C" w:rsidRDefault="00C04612" w:rsidP="00C04612">
      <w:pPr>
        <w:pStyle w:val="NormalBold"/>
      </w:pPr>
      <w:bookmarkStart w:id="8" w:name="TextBodyBegin"/>
      <w:bookmarkEnd w:id="8"/>
      <w:r w:rsidRPr="00B7298C">
        <w:t>(Procedimiento legislativo ordinario: primera lectura)</w:t>
      </w:r>
    </w:p>
    <w:p w14:paraId="5D5923FA" w14:textId="77777777" w:rsidR="00C04612" w:rsidRPr="00B7298C" w:rsidRDefault="00C04612" w:rsidP="00C04612">
      <w:pPr>
        <w:pStyle w:val="EPComma"/>
      </w:pPr>
      <w:r w:rsidRPr="00B7298C">
        <w:rPr>
          <w:i/>
          <w:iCs/>
        </w:rPr>
        <w:t>El Parlamento Europeo</w:t>
      </w:r>
      <w:r w:rsidRPr="00B7298C">
        <w:t>,</w:t>
      </w:r>
    </w:p>
    <w:p w14:paraId="3FC61320" w14:textId="77777777" w:rsidR="00C04612" w:rsidRPr="00B7298C" w:rsidRDefault="00C04612" w:rsidP="00C04612">
      <w:pPr>
        <w:pStyle w:val="NormalHanging12a"/>
      </w:pPr>
      <w:r w:rsidRPr="00B7298C">
        <w:t>–</w:t>
      </w:r>
      <w:r w:rsidRPr="00B7298C">
        <w:tab/>
        <w:t>Vista la propuesta de la Comisión al Parlamento Europeo y al Consejo (COM(2025)0797),</w:t>
      </w:r>
    </w:p>
    <w:p w14:paraId="2CD87C48" w14:textId="77777777" w:rsidR="00C04612" w:rsidRPr="00B7298C" w:rsidRDefault="00C04612" w:rsidP="00C04612">
      <w:pPr>
        <w:pStyle w:val="NormalHanging12a"/>
      </w:pPr>
      <w:r w:rsidRPr="00B7298C">
        <w:t>–</w:t>
      </w:r>
      <w:r w:rsidRPr="00B7298C">
        <w:tab/>
        <w:t>Vistos el artículo 294, apartado 2, el artículo 16, apartado 2, y el artículo 114, apartado 1, del Tratado de Funcionamiento de la Unión Europea, conforme a los cuales la Comisión le ha presentado su propuesta (C10</w:t>
      </w:r>
      <w:r w:rsidRPr="00B7298C">
        <w:noBreakHyphen/>
        <w:t>0370/2025),</w:t>
      </w:r>
    </w:p>
    <w:p w14:paraId="08249ED7" w14:textId="77777777" w:rsidR="00C04612" w:rsidRPr="00B7298C" w:rsidRDefault="00C04612" w:rsidP="00C04612">
      <w:pPr>
        <w:pStyle w:val="NormalHanging12a"/>
      </w:pPr>
      <w:r w:rsidRPr="00B7298C">
        <w:t>–</w:t>
      </w:r>
      <w:r w:rsidRPr="00B7298C">
        <w:tab/>
        <w:t>Visto el artículo 294, apartado 3, del Tratado de Funcionamiento de la Unión Europea,</w:t>
      </w:r>
    </w:p>
    <w:p w14:paraId="681CD172" w14:textId="77CE1E29" w:rsidR="001D0B11" w:rsidRPr="00B7298C" w:rsidRDefault="00C04612" w:rsidP="001D0B11">
      <w:pPr>
        <w:spacing w:after="240"/>
        <w:ind w:left="567" w:hanging="567"/>
      </w:pPr>
      <w:r w:rsidRPr="00B7298C">
        <w:t>–</w:t>
      </w:r>
      <w:r w:rsidRPr="00B7298C">
        <w:tab/>
      </w:r>
      <w:r w:rsidR="001D0B11" w:rsidRPr="00B7298C">
        <w:t>Visto el dictamen del Comité Económico y Social Europeo de 21 de enero de 2026</w:t>
      </w:r>
      <w:r w:rsidR="001D0B11" w:rsidRPr="00B7298C">
        <w:rPr>
          <w:rStyle w:val="FootnoteReference"/>
        </w:rPr>
        <w:footnoteReference w:id="1"/>
      </w:r>
    </w:p>
    <w:p w14:paraId="7FEE58EC" w14:textId="204DAE1B" w:rsidR="00C04612" w:rsidRPr="00B7298C" w:rsidRDefault="001D0B11" w:rsidP="00C04612">
      <w:pPr>
        <w:pStyle w:val="NormalHanging12a"/>
      </w:pPr>
      <w:r w:rsidRPr="00B7298C">
        <w:t>–</w:t>
      </w:r>
      <w:r w:rsidRPr="00B7298C">
        <w:tab/>
      </w:r>
      <w:r w:rsidR="00C04612" w:rsidRPr="00B7298C">
        <w:t>Visto el artículo 60 de su Reglamento interno,</w:t>
      </w:r>
    </w:p>
    <w:p w14:paraId="75D64620" w14:textId="77777777" w:rsidR="00C04612" w:rsidRPr="00B7298C" w:rsidRDefault="00C04612" w:rsidP="00C04612">
      <w:pPr>
        <w:pStyle w:val="NormalHanging12a"/>
      </w:pPr>
      <w:r w:rsidRPr="00B7298C">
        <w:t>–</w:t>
      </w:r>
      <w:r w:rsidRPr="00B7298C">
        <w:tab/>
        <w:t>Visto el informe de la Comisión de Libertades Civiles, Justicia y Asuntos de Interior (A10-0040/2026),</w:t>
      </w:r>
    </w:p>
    <w:p w14:paraId="384D2526" w14:textId="5CCC8F05" w:rsidR="00C04612" w:rsidRPr="00B7298C" w:rsidRDefault="00C04612" w:rsidP="00C04612">
      <w:pPr>
        <w:pStyle w:val="NormalHanging12a"/>
      </w:pPr>
      <w:r w:rsidRPr="00B7298C">
        <w:t>1.</w:t>
      </w:r>
      <w:r w:rsidRPr="00B7298C">
        <w:tab/>
      </w:r>
      <w:r w:rsidR="00F61CCF" w:rsidRPr="00B7298C">
        <w:t>Rechaza la propuesta de la Comisión</w:t>
      </w:r>
      <w:r w:rsidR="001D0B11" w:rsidRPr="00B7298C">
        <w:t>;</w:t>
      </w:r>
    </w:p>
    <w:p w14:paraId="0296EF76" w14:textId="09C4BAA2" w:rsidR="00C04612" w:rsidRPr="00B7298C" w:rsidRDefault="00C04612" w:rsidP="00C04612">
      <w:pPr>
        <w:pStyle w:val="NormalHanging12a"/>
      </w:pPr>
      <w:r w:rsidRPr="00B7298C">
        <w:t>2.</w:t>
      </w:r>
      <w:r w:rsidRPr="00B7298C">
        <w:tab/>
      </w:r>
      <w:r w:rsidR="00F61CCF" w:rsidRPr="00B7298C">
        <w:t>Pide a la Comisión que retire su propuesta</w:t>
      </w:r>
      <w:r w:rsidRPr="00B7298C">
        <w:t>;</w:t>
      </w:r>
    </w:p>
    <w:p w14:paraId="44BA6E6F" w14:textId="43D756A5" w:rsidR="00E365E1" w:rsidRPr="00B7298C" w:rsidRDefault="00C04612" w:rsidP="00297ED5">
      <w:pPr>
        <w:spacing w:before="120" w:after="120"/>
        <w:ind w:left="567" w:hanging="567"/>
      </w:pPr>
      <w:r w:rsidRPr="00B7298C">
        <w:t>3.</w:t>
      </w:r>
      <w:r w:rsidRPr="00B7298C">
        <w:tab/>
        <w:t>Encarga a su presidenta que transmita la Posición del Parlamento al Consejo y a la Comisión, así como a los Parlamentos nacionales.</w:t>
      </w:r>
      <w:bookmarkStart w:id="9" w:name="_DV_M1"/>
      <w:bookmarkStart w:id="10" w:name="_DV_M2"/>
      <w:bookmarkEnd w:id="9"/>
      <w:bookmarkEnd w:id="10"/>
    </w:p>
    <w:sectPr w:rsidR="00E365E1" w:rsidRPr="00B7298C" w:rsidSect="009E64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C21B0" w14:textId="77777777" w:rsidR="00A65F56" w:rsidRPr="009E6447" w:rsidRDefault="00A65F56">
      <w:r w:rsidRPr="009E6447">
        <w:separator/>
      </w:r>
    </w:p>
  </w:endnote>
  <w:endnote w:type="continuationSeparator" w:id="0">
    <w:p w14:paraId="630741DA" w14:textId="77777777" w:rsidR="00A65F56" w:rsidRPr="009E6447" w:rsidRDefault="00A65F56">
      <w:r w:rsidRPr="009E64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64B7" w14:textId="77777777" w:rsidR="00064002" w:rsidRPr="009E644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8A8FE" w14:textId="77777777" w:rsidR="00064002" w:rsidRPr="009E644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1BE9D" w14:textId="77777777" w:rsidR="00064002" w:rsidRPr="009E644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9BEEB" w14:textId="77777777" w:rsidR="00A65F56" w:rsidRPr="009E6447" w:rsidRDefault="00A65F56">
      <w:r w:rsidRPr="009E6447">
        <w:separator/>
      </w:r>
    </w:p>
  </w:footnote>
  <w:footnote w:type="continuationSeparator" w:id="0">
    <w:p w14:paraId="6F034458" w14:textId="77777777" w:rsidR="00A65F56" w:rsidRPr="009E6447" w:rsidRDefault="00A65F56">
      <w:r w:rsidRPr="009E6447">
        <w:continuationSeparator/>
      </w:r>
    </w:p>
  </w:footnote>
  <w:footnote w:id="1">
    <w:p w14:paraId="39680002" w14:textId="25EE1244" w:rsidR="001D0B11" w:rsidRPr="00931ACD" w:rsidRDefault="001D0B11" w:rsidP="00C2303A">
      <w:pPr>
        <w:pStyle w:val="FootnoteText"/>
        <w:ind w:left="567" w:hanging="567"/>
        <w:rPr>
          <w:sz w:val="24"/>
          <w:szCs w:val="24"/>
          <w:lang w:val="ca-ES"/>
        </w:rPr>
      </w:pPr>
      <w:r w:rsidRPr="00931ACD">
        <w:rPr>
          <w:rStyle w:val="FootnoteReference"/>
          <w:sz w:val="24"/>
          <w:szCs w:val="24"/>
        </w:rPr>
        <w:footnoteRef/>
      </w:r>
      <w:r w:rsidRPr="00931ACD">
        <w:rPr>
          <w:sz w:val="24"/>
          <w:szCs w:val="24"/>
          <w:lang w:val="es-ES"/>
        </w:rPr>
        <w:t xml:space="preserve"> </w:t>
      </w:r>
      <w:r w:rsidRPr="00931ACD">
        <w:rPr>
          <w:sz w:val="24"/>
          <w:szCs w:val="24"/>
          <w:lang w:val="ca-ES"/>
        </w:rPr>
        <w:tab/>
      </w:r>
      <w:proofErr w:type="spellStart"/>
      <w:r w:rsidRPr="00931ACD">
        <w:rPr>
          <w:sz w:val="24"/>
          <w:szCs w:val="24"/>
          <w:lang w:val="ca-ES"/>
        </w:rPr>
        <w:t>Pendiente</w:t>
      </w:r>
      <w:proofErr w:type="spellEnd"/>
      <w:r w:rsidRPr="00931ACD">
        <w:rPr>
          <w:sz w:val="24"/>
          <w:szCs w:val="24"/>
          <w:lang w:val="ca-ES"/>
        </w:rPr>
        <w:t xml:space="preserve"> de </w:t>
      </w:r>
      <w:proofErr w:type="spellStart"/>
      <w:r w:rsidRPr="00931ACD">
        <w:rPr>
          <w:sz w:val="24"/>
          <w:szCs w:val="24"/>
          <w:lang w:val="ca-ES"/>
        </w:rPr>
        <w:t>publicación</w:t>
      </w:r>
      <w:proofErr w:type="spellEnd"/>
      <w:r w:rsidRPr="00931ACD">
        <w:rPr>
          <w:sz w:val="24"/>
          <w:szCs w:val="24"/>
          <w:lang w:val="ca-ES"/>
        </w:rPr>
        <w:t xml:space="preserve"> en el </w:t>
      </w:r>
      <w:proofErr w:type="spellStart"/>
      <w:r w:rsidRPr="00931ACD">
        <w:rPr>
          <w:sz w:val="24"/>
          <w:szCs w:val="24"/>
          <w:lang w:val="ca-ES"/>
        </w:rPr>
        <w:t>Diario</w:t>
      </w:r>
      <w:proofErr w:type="spellEnd"/>
      <w:r w:rsidRPr="00931ACD">
        <w:rPr>
          <w:sz w:val="24"/>
          <w:szCs w:val="24"/>
          <w:lang w:val="ca-ES"/>
        </w:rPr>
        <w:t xml:space="preserve">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0152" w14:textId="77777777" w:rsidR="00064002" w:rsidRPr="009E644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6B374" w14:textId="77777777" w:rsidR="00064002" w:rsidRPr="009E644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FA861" w14:textId="77777777" w:rsidR="00064002" w:rsidRPr="009E644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5651263">
    <w:abstractNumId w:val="9"/>
  </w:num>
  <w:num w:numId="2" w16cid:durableId="135731320">
    <w:abstractNumId w:val="9"/>
  </w:num>
  <w:num w:numId="3" w16cid:durableId="408967465">
    <w:abstractNumId w:val="7"/>
  </w:num>
  <w:num w:numId="4" w16cid:durableId="972058821">
    <w:abstractNumId w:val="7"/>
  </w:num>
  <w:num w:numId="5" w16cid:durableId="305084217">
    <w:abstractNumId w:val="6"/>
  </w:num>
  <w:num w:numId="6" w16cid:durableId="1141850170">
    <w:abstractNumId w:val="6"/>
  </w:num>
  <w:num w:numId="7" w16cid:durableId="1438864205">
    <w:abstractNumId w:val="5"/>
  </w:num>
  <w:num w:numId="8" w16cid:durableId="1801337168">
    <w:abstractNumId w:val="5"/>
  </w:num>
  <w:num w:numId="9" w16cid:durableId="1829591776">
    <w:abstractNumId w:val="4"/>
  </w:num>
  <w:num w:numId="10" w16cid:durableId="1755972847">
    <w:abstractNumId w:val="4"/>
  </w:num>
  <w:num w:numId="11" w16cid:durableId="102843671">
    <w:abstractNumId w:val="8"/>
  </w:num>
  <w:num w:numId="12" w16cid:durableId="1143695855">
    <w:abstractNumId w:val="8"/>
  </w:num>
  <w:num w:numId="13" w16cid:durableId="1642491415">
    <w:abstractNumId w:val="3"/>
  </w:num>
  <w:num w:numId="14" w16cid:durableId="429468722">
    <w:abstractNumId w:val="3"/>
  </w:num>
  <w:num w:numId="15" w16cid:durableId="1152940487">
    <w:abstractNumId w:val="2"/>
  </w:num>
  <w:num w:numId="16" w16cid:durableId="171527464">
    <w:abstractNumId w:val="2"/>
  </w:num>
  <w:num w:numId="17" w16cid:durableId="1831288380">
    <w:abstractNumId w:val="1"/>
  </w:num>
  <w:num w:numId="18" w16cid:durableId="264072459">
    <w:abstractNumId w:val="1"/>
  </w:num>
  <w:num w:numId="19" w16cid:durableId="904144580">
    <w:abstractNumId w:val="0"/>
  </w:num>
  <w:num w:numId="20" w16cid:durableId="1816491177">
    <w:abstractNumId w:val="0"/>
  </w:num>
  <w:num w:numId="21" w16cid:durableId="1268150679">
    <w:abstractNumId w:val="9"/>
  </w:num>
  <w:num w:numId="22" w16cid:durableId="1442533307">
    <w:abstractNumId w:val="7"/>
  </w:num>
  <w:num w:numId="23" w16cid:durableId="302274598">
    <w:abstractNumId w:val="6"/>
  </w:num>
  <w:num w:numId="24" w16cid:durableId="1639534886">
    <w:abstractNumId w:val="5"/>
  </w:num>
  <w:num w:numId="25" w16cid:durableId="526720149">
    <w:abstractNumId w:val="4"/>
  </w:num>
  <w:num w:numId="26" w16cid:durableId="1658339216">
    <w:abstractNumId w:val="8"/>
  </w:num>
  <w:num w:numId="27" w16cid:durableId="1772160184">
    <w:abstractNumId w:val="3"/>
  </w:num>
  <w:num w:numId="28" w16cid:durableId="1244753687">
    <w:abstractNumId w:val="2"/>
  </w:num>
  <w:num w:numId="29" w16cid:durableId="932326195">
    <w:abstractNumId w:val="1"/>
  </w:num>
  <w:num w:numId="30" w16cid:durableId="1772432921">
    <w:abstractNumId w:val="0"/>
  </w:num>
  <w:num w:numId="31" w16cid:durableId="93717664">
    <w:abstractNumId w:val="9"/>
  </w:num>
  <w:num w:numId="32" w16cid:durableId="1801681264">
    <w:abstractNumId w:val="7"/>
  </w:num>
  <w:num w:numId="33" w16cid:durableId="116266125">
    <w:abstractNumId w:val="6"/>
  </w:num>
  <w:num w:numId="34" w16cid:durableId="4136472">
    <w:abstractNumId w:val="5"/>
  </w:num>
  <w:num w:numId="35" w16cid:durableId="2040280455">
    <w:abstractNumId w:val="4"/>
  </w:num>
  <w:num w:numId="36" w16cid:durableId="2031223653">
    <w:abstractNumId w:val="8"/>
  </w:num>
  <w:num w:numId="37" w16cid:durableId="872227956">
    <w:abstractNumId w:val="3"/>
  </w:num>
  <w:num w:numId="38" w16cid:durableId="970751638">
    <w:abstractNumId w:val="2"/>
  </w:num>
  <w:num w:numId="39" w16cid:durableId="690494449">
    <w:abstractNumId w:val="1"/>
  </w:num>
  <w:num w:numId="40" w16cid:durableId="1975284846">
    <w:abstractNumId w:val="0"/>
  </w:num>
  <w:num w:numId="41" w16cid:durableId="1653027320">
    <w:abstractNumId w:val="10"/>
  </w:num>
  <w:num w:numId="42" w16cid:durableId="1096630177">
    <w:abstractNumId w:val="10"/>
  </w:num>
  <w:num w:numId="43" w16cid:durableId="1502232419">
    <w:abstractNumId w:val="10"/>
  </w:num>
  <w:num w:numId="44" w16cid:durableId="1817489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ES"/>
    <w:docVar w:name="dvnumam" w:val="0"/>
    <w:docVar w:name="dvpe" w:val="784.310"/>
    <w:docVar w:name="dvrapporteur" w:val="Ponente: "/>
    <w:docVar w:name="dvstar" w:val="***I"/>
    <w:docVar w:name="dvtitre" w:val="Resolución legislativa del Parlamento Europeo, de 26 de marzo de 2026, sobre la propuesta de Reglamento del Parlamento Europeo y del Consejo por el que se modifica el Reglamento (UE) 2021/1232 en lo que respecta a la prórroga de su período de aplicación(COM(2025)0797 – C10-0370/2025 – 2025/0429(COD))"/>
  </w:docVars>
  <w:rsids>
    <w:rsidRoot w:val="00A65F56"/>
    <w:rsid w:val="00002272"/>
    <w:rsid w:val="00064002"/>
    <w:rsid w:val="000677B9"/>
    <w:rsid w:val="000831BA"/>
    <w:rsid w:val="000A42CC"/>
    <w:rsid w:val="000E7DD9"/>
    <w:rsid w:val="000F62B4"/>
    <w:rsid w:val="0010095E"/>
    <w:rsid w:val="00125B37"/>
    <w:rsid w:val="001520C7"/>
    <w:rsid w:val="00187494"/>
    <w:rsid w:val="001D0B11"/>
    <w:rsid w:val="001D545F"/>
    <w:rsid w:val="001F32AE"/>
    <w:rsid w:val="002767FF"/>
    <w:rsid w:val="00297ED5"/>
    <w:rsid w:val="002B18FE"/>
    <w:rsid w:val="002B5493"/>
    <w:rsid w:val="003306C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CC8"/>
    <w:rsid w:val="006631B6"/>
    <w:rsid w:val="00675F20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5BCE"/>
    <w:rsid w:val="00817416"/>
    <w:rsid w:val="00842779"/>
    <w:rsid w:val="00865F67"/>
    <w:rsid w:val="00867614"/>
    <w:rsid w:val="00881A7B"/>
    <w:rsid w:val="008840E5"/>
    <w:rsid w:val="00887B3E"/>
    <w:rsid w:val="008C2AC6"/>
    <w:rsid w:val="00930C23"/>
    <w:rsid w:val="0093193B"/>
    <w:rsid w:val="00931ACD"/>
    <w:rsid w:val="009509D8"/>
    <w:rsid w:val="00950B64"/>
    <w:rsid w:val="00981893"/>
    <w:rsid w:val="009E6447"/>
    <w:rsid w:val="00A1687D"/>
    <w:rsid w:val="00A43E52"/>
    <w:rsid w:val="00A4678D"/>
    <w:rsid w:val="00A65F56"/>
    <w:rsid w:val="00A778C7"/>
    <w:rsid w:val="00AB441E"/>
    <w:rsid w:val="00AB6293"/>
    <w:rsid w:val="00AE0928"/>
    <w:rsid w:val="00AF3B82"/>
    <w:rsid w:val="00B12E95"/>
    <w:rsid w:val="00B22876"/>
    <w:rsid w:val="00B558F0"/>
    <w:rsid w:val="00B7298C"/>
    <w:rsid w:val="00B9472F"/>
    <w:rsid w:val="00BD48FE"/>
    <w:rsid w:val="00BD7BD8"/>
    <w:rsid w:val="00BE6ADC"/>
    <w:rsid w:val="00C04612"/>
    <w:rsid w:val="00C05BFE"/>
    <w:rsid w:val="00C2303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F4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1CC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81BB2E"/>
  <w15:chartTrackingRefBased/>
  <w15:docId w15:val="{5D92685F-1EAA-431E-9611-F307D3AA1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04612"/>
    <w:pPr>
      <w:spacing w:before="480" w:after="240"/>
    </w:pPr>
  </w:style>
  <w:style w:type="paragraph" w:customStyle="1" w:styleId="NormalBold">
    <w:name w:val="NormalBold"/>
    <w:basedOn w:val="Normal"/>
    <w:rsid w:val="00C04612"/>
    <w:rPr>
      <w:b/>
    </w:rPr>
  </w:style>
  <w:style w:type="paragraph" w:customStyle="1" w:styleId="NormalHanging12a">
    <w:name w:val="NormalHanging12a"/>
    <w:basedOn w:val="Normal"/>
    <w:rsid w:val="00C0461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D0B11"/>
    <w:rPr>
      <w:sz w:val="24"/>
      <w:lang w:val="es-ES_tradnl"/>
    </w:rPr>
  </w:style>
  <w:style w:type="character" w:styleId="Hyperlink">
    <w:name w:val="Hyperlink"/>
    <w:basedOn w:val="DefaultParagraphFont"/>
    <w:uiPriority w:val="99"/>
    <w:rsid w:val="00645CC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7E5B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5BC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E5BCE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7E5B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5BCE"/>
    <w:rPr>
      <w:b/>
      <w:bCs/>
      <w:lang w:val="es-ES_tradnl"/>
    </w:rPr>
  </w:style>
  <w:style w:type="character" w:styleId="UnresolvedMention">
    <w:name w:val="Unresolved Mention"/>
    <w:basedOn w:val="DefaultParagraphFont"/>
    <w:uiPriority w:val="99"/>
    <w:semiHidden/>
    <w:unhideWhenUsed/>
    <w:rsid w:val="00C230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230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MLG_EP_Relec STO</dc:creator>
  <cp:keywords/>
  <cp:lastModifiedBy>Fernan Rodriguez (EP)</cp:lastModifiedBy>
  <cp:revision>2</cp:revision>
  <cp:lastPrinted>2004-11-19T15:42:00Z</cp:lastPrinted>
  <dcterms:created xsi:type="dcterms:W3CDTF">2026-03-26T12:25:00Z</dcterms:created>
  <dcterms:modified xsi:type="dcterms:W3CDTF">2026-03-26T12:25:00Z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