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54E03" w14:paraId="410E3765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78C04C9" w14:textId="77777777" w:rsidR="00751A4A" w:rsidRPr="00A54E03" w:rsidRDefault="00861F49" w:rsidP="0010095E">
            <w:pPr>
              <w:pStyle w:val="EPName"/>
            </w:pPr>
            <w:r w:rsidRPr="00A54E03">
              <w:t>Parlement européen</w:t>
            </w:r>
          </w:p>
          <w:p w14:paraId="31A0769A" w14:textId="77777777" w:rsidR="00751A4A" w:rsidRPr="00A54E0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54E03">
              <w:t>2024</w:t>
            </w:r>
            <w:r w:rsidR="00817416" w:rsidRPr="00A54E03">
              <w:t>-202</w:t>
            </w:r>
            <w:r w:rsidRPr="00A54E03">
              <w:t>9</w:t>
            </w:r>
          </w:p>
        </w:tc>
        <w:tc>
          <w:tcPr>
            <w:tcW w:w="2268" w:type="dxa"/>
            <w:shd w:val="clear" w:color="auto" w:fill="auto"/>
          </w:tcPr>
          <w:p w14:paraId="73F2B4C7" w14:textId="77777777" w:rsidR="00751A4A" w:rsidRPr="00A54E03" w:rsidRDefault="00187494" w:rsidP="0010095E">
            <w:pPr>
              <w:pStyle w:val="EPLogo"/>
            </w:pPr>
            <w:r w:rsidRPr="00A54E03">
              <w:rPr>
                <w:noProof/>
                <w:lang w:eastAsia="ja-JP"/>
              </w:rPr>
              <w:drawing>
                <wp:inline distT="0" distB="0" distL="0" distR="0" wp14:anchorId="3CD8C1D2" wp14:editId="62906D7A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96FF655" w14:textId="77777777" w:rsidR="00D058B8" w:rsidRPr="00A54E03" w:rsidRDefault="00D058B8" w:rsidP="004C5D52">
      <w:pPr>
        <w:pStyle w:val="LineTop"/>
      </w:pPr>
    </w:p>
    <w:p w14:paraId="3749F026" w14:textId="77777777" w:rsidR="00680577" w:rsidRPr="00A54E03" w:rsidRDefault="00861F49" w:rsidP="00680577">
      <w:pPr>
        <w:pStyle w:val="EPBodyTA1"/>
      </w:pPr>
      <w:r w:rsidRPr="00A54E03">
        <w:t>TEXTES ADOPTÉS</w:t>
      </w:r>
    </w:p>
    <w:p w14:paraId="2A8EB068" w14:textId="77777777" w:rsidR="00D058B8" w:rsidRPr="00A54E03" w:rsidRDefault="00D058B8" w:rsidP="00D058B8">
      <w:pPr>
        <w:pStyle w:val="LineBottom"/>
      </w:pPr>
    </w:p>
    <w:p w14:paraId="3F124E03" w14:textId="10819888" w:rsidR="00861F49" w:rsidRPr="00A54E03" w:rsidRDefault="00861F49" w:rsidP="00861F49">
      <w:pPr>
        <w:pStyle w:val="ATHeading1"/>
      </w:pPr>
      <w:bookmarkStart w:id="0" w:name="TANumber"/>
      <w:r w:rsidRPr="00A54E03">
        <w:t>P10_TA(2026)00</w:t>
      </w:r>
      <w:r w:rsidR="0065214C">
        <w:t>95</w:t>
      </w:r>
      <w:bookmarkEnd w:id="0"/>
    </w:p>
    <w:p w14:paraId="3C47A6D3" w14:textId="5E782A3F" w:rsidR="00861F49" w:rsidRPr="00A54E03" w:rsidRDefault="007E7AC2" w:rsidP="00861F49">
      <w:pPr>
        <w:pStyle w:val="ATHeading2"/>
      </w:pPr>
      <w:bookmarkStart w:id="1" w:name="title"/>
      <w:r>
        <w:t>R</w:t>
      </w:r>
      <w:r w:rsidRPr="007E7AC2">
        <w:t xml:space="preserve">èglement </w:t>
      </w:r>
      <w:r w:rsidR="00C02FC1">
        <w:t xml:space="preserve">modifiant le règlement </w:t>
      </w:r>
      <w:r w:rsidRPr="007E7AC2">
        <w:t>(UE) 2021/1232 en ce qui concerne la prolongation de sa période d’application</w:t>
      </w:r>
      <w:bookmarkEnd w:id="1"/>
    </w:p>
    <w:p w14:paraId="23D7CF69" w14:textId="77777777" w:rsidR="00861F49" w:rsidRPr="00A54E03" w:rsidRDefault="00861F49" w:rsidP="00861F49">
      <w:pPr>
        <w:rPr>
          <w:i/>
          <w:vanish/>
        </w:rPr>
      </w:pPr>
      <w:r w:rsidRPr="00A54E03">
        <w:rPr>
          <w:i/>
        </w:rPr>
        <w:fldChar w:fldCharType="begin"/>
      </w:r>
      <w:r w:rsidRPr="00A54E03">
        <w:rPr>
          <w:i/>
        </w:rPr>
        <w:instrText xml:space="preserve"> TC"(</w:instrText>
      </w:r>
      <w:bookmarkStart w:id="2" w:name="DocNumber"/>
      <w:r w:rsidRPr="00A54E03">
        <w:rPr>
          <w:i/>
        </w:rPr>
        <w:instrText>A10-0040/2026</w:instrText>
      </w:r>
      <w:bookmarkEnd w:id="2"/>
      <w:r w:rsidRPr="00A54E03">
        <w:rPr>
          <w:i/>
        </w:rPr>
        <w:instrText xml:space="preserve"> - Rapporteure: Birgit Sippel)"\l3 \n&gt; \* MERGEFORMAT </w:instrText>
      </w:r>
      <w:r w:rsidRPr="00A54E03">
        <w:rPr>
          <w:i/>
        </w:rPr>
        <w:fldChar w:fldCharType="end"/>
      </w:r>
    </w:p>
    <w:p w14:paraId="293CB20F" w14:textId="77777777" w:rsidR="00861F49" w:rsidRPr="00A54E03" w:rsidRDefault="00861F49" w:rsidP="00861F49">
      <w:pPr>
        <w:rPr>
          <w:vanish/>
        </w:rPr>
      </w:pPr>
      <w:bookmarkStart w:id="3" w:name="Commission"/>
      <w:r w:rsidRPr="00A54E03">
        <w:rPr>
          <w:vanish/>
        </w:rPr>
        <w:t>Commission des libertés civiles, de la justice et des affaires intérieures</w:t>
      </w:r>
      <w:bookmarkEnd w:id="3"/>
    </w:p>
    <w:p w14:paraId="1887A4CC" w14:textId="77777777" w:rsidR="00861F49" w:rsidRPr="00A54E03" w:rsidRDefault="00861F49" w:rsidP="00861F49">
      <w:pPr>
        <w:rPr>
          <w:vanish/>
        </w:rPr>
      </w:pPr>
      <w:bookmarkStart w:id="4" w:name="PE"/>
      <w:r w:rsidRPr="00A54E03">
        <w:rPr>
          <w:vanish/>
        </w:rPr>
        <w:t>PE784.310</w:t>
      </w:r>
      <w:bookmarkEnd w:id="4"/>
    </w:p>
    <w:p w14:paraId="26C9D431" w14:textId="5577746B" w:rsidR="00861F49" w:rsidRPr="00A54E03" w:rsidRDefault="00861F49" w:rsidP="00861F49">
      <w:pPr>
        <w:pStyle w:val="ATHeading3"/>
      </w:pPr>
      <w:bookmarkStart w:id="5" w:name="Sujet"/>
      <w:r w:rsidRPr="00A54E03">
        <w:t xml:space="preserve">Résolution législative du Parlement européen du </w:t>
      </w:r>
      <w:r w:rsidR="00775A21">
        <w:t>26 mars</w:t>
      </w:r>
      <w:r w:rsidRPr="00A54E03">
        <w:t xml:space="preserve"> 2026 sur la proposition de règlement du Parlement européen et du Conseil modifiant le règlement (UE) 2021/1232 en ce qui concerne la prolongation de sa période d’application</w:t>
      </w:r>
      <w:bookmarkEnd w:id="5"/>
      <w:r w:rsidRPr="00A54E03">
        <w:t xml:space="preserve"> </w:t>
      </w:r>
      <w:bookmarkStart w:id="6" w:name="References"/>
      <w:r w:rsidRPr="00A54E03">
        <w:t>(COM(2025)0797 – C10-0370/2025 – 2025/0429(COD))</w:t>
      </w:r>
      <w:bookmarkEnd w:id="6"/>
    </w:p>
    <w:p w14:paraId="6A08C689" w14:textId="77777777" w:rsidR="002E163E" w:rsidRPr="00A54E03" w:rsidRDefault="002E163E" w:rsidP="002E163E">
      <w:pPr>
        <w:pStyle w:val="NormalBold"/>
      </w:pPr>
      <w:bookmarkStart w:id="7" w:name="TextBodyBegin"/>
      <w:bookmarkEnd w:id="7"/>
      <w:r w:rsidRPr="00A54E03">
        <w:t>(Procédure législative ordinaire: première lecture)</w:t>
      </w:r>
    </w:p>
    <w:p w14:paraId="6DB55647" w14:textId="77777777" w:rsidR="002E163E" w:rsidRPr="00A54E03" w:rsidRDefault="002E163E" w:rsidP="002E163E">
      <w:pPr>
        <w:pStyle w:val="EPComma"/>
      </w:pPr>
      <w:r w:rsidRPr="00A54E03">
        <w:rPr>
          <w:i/>
        </w:rPr>
        <w:t>Le Parlement européen</w:t>
      </w:r>
      <w:r w:rsidRPr="00A54E03">
        <w:t>,</w:t>
      </w:r>
    </w:p>
    <w:p w14:paraId="60BBD0D6" w14:textId="77777777" w:rsidR="002E163E" w:rsidRPr="00A54E03" w:rsidRDefault="002E163E" w:rsidP="002E163E">
      <w:pPr>
        <w:pStyle w:val="NormalHanging12a"/>
      </w:pPr>
      <w:r w:rsidRPr="00A54E03">
        <w:t>–</w:t>
      </w:r>
      <w:r w:rsidRPr="00A54E03">
        <w:tab/>
        <w:t>vu la proposition de la Commission au Parlement européen et au Conseil (COM(2025)0797),</w:t>
      </w:r>
    </w:p>
    <w:p w14:paraId="20478314" w14:textId="33720CE9" w:rsidR="002E163E" w:rsidRPr="00A54E03" w:rsidRDefault="002E163E" w:rsidP="002E163E">
      <w:pPr>
        <w:pStyle w:val="NormalHanging12a"/>
      </w:pPr>
      <w:r w:rsidRPr="00A54E03">
        <w:t>–</w:t>
      </w:r>
      <w:r w:rsidRPr="00A54E03">
        <w:tab/>
        <w:t xml:space="preserve">vu l’article 294, paragraphe 2, </w:t>
      </w:r>
      <w:r w:rsidR="00541DA4">
        <w:t xml:space="preserve">ainsi que </w:t>
      </w:r>
      <w:r w:rsidRPr="00A54E03">
        <w:t>l’article 16, paragraphe 2, et l’article 114, paragraphe 1, du traité sur le fonctionnement de l’Union européenne, conformément auxquels la proposition lui a été présentée par la Commission (C10</w:t>
      </w:r>
      <w:r w:rsidRPr="00A54E03">
        <w:noBreakHyphen/>
        <w:t>0370/2025),</w:t>
      </w:r>
    </w:p>
    <w:p w14:paraId="727C47DE" w14:textId="77777777" w:rsidR="002E163E" w:rsidRDefault="002E163E" w:rsidP="002E163E">
      <w:pPr>
        <w:pStyle w:val="NormalHanging12a"/>
      </w:pPr>
      <w:r w:rsidRPr="00A54E03">
        <w:t>–</w:t>
      </w:r>
      <w:r w:rsidRPr="00A54E03">
        <w:tab/>
        <w:t>vu l’article 294, paragraphe 3, du traité sur le fonctionnement de l’Union européenne,</w:t>
      </w:r>
    </w:p>
    <w:p w14:paraId="2C905D60" w14:textId="1F80445B" w:rsidR="007E7AC2" w:rsidRPr="00A54E03" w:rsidRDefault="007E7AC2" w:rsidP="002E163E">
      <w:pPr>
        <w:pStyle w:val="NormalHanging12a"/>
      </w:pPr>
      <w:r w:rsidRPr="00545AFB">
        <w:t>–</w:t>
      </w:r>
      <w:r w:rsidRPr="00545AFB">
        <w:tab/>
        <w:t xml:space="preserve">vu l’avis </w:t>
      </w:r>
      <w:r>
        <w:t xml:space="preserve">du </w:t>
      </w:r>
      <w:r w:rsidRPr="003C2C3B">
        <w:t xml:space="preserve">Comité </w:t>
      </w:r>
      <w:r w:rsidRPr="006A46EF">
        <w:t>économique et social européen</w:t>
      </w:r>
      <w:r>
        <w:t xml:space="preserve"> du 21 janvier 2026</w:t>
      </w:r>
      <w:r>
        <w:rPr>
          <w:rStyle w:val="FootnoteReference"/>
        </w:rPr>
        <w:footnoteReference w:id="1"/>
      </w:r>
      <w:r>
        <w:t>,</w:t>
      </w:r>
    </w:p>
    <w:p w14:paraId="24DDF2EE" w14:textId="77777777" w:rsidR="002E163E" w:rsidRPr="00A54E03" w:rsidRDefault="002E163E" w:rsidP="002E163E">
      <w:pPr>
        <w:pStyle w:val="NormalHanging12a"/>
      </w:pPr>
      <w:r w:rsidRPr="00A54E03">
        <w:t>–</w:t>
      </w:r>
      <w:r w:rsidRPr="00A54E03">
        <w:tab/>
        <w:t>vu l’article 60 de son règlement intérieur,</w:t>
      </w:r>
    </w:p>
    <w:p w14:paraId="71BD61DC" w14:textId="77777777" w:rsidR="002E163E" w:rsidRPr="00A54E03" w:rsidRDefault="002E163E" w:rsidP="002E163E">
      <w:pPr>
        <w:pStyle w:val="NormalHanging12a"/>
      </w:pPr>
      <w:r w:rsidRPr="00A54E03">
        <w:t>–</w:t>
      </w:r>
      <w:r w:rsidRPr="00A54E03">
        <w:tab/>
        <w:t>vu le rapport de la commission des libertés civiles, de la justice et des affaires intérieures (A10-0040/2026),</w:t>
      </w:r>
    </w:p>
    <w:p w14:paraId="0960271E" w14:textId="343D66F1" w:rsidR="002E163E" w:rsidRPr="00A54E03" w:rsidRDefault="002E163E" w:rsidP="002E163E">
      <w:pPr>
        <w:pStyle w:val="NormalHanging12a"/>
      </w:pPr>
      <w:r w:rsidRPr="00A54E03">
        <w:t>1.</w:t>
      </w:r>
      <w:r w:rsidRPr="00A54E03">
        <w:tab/>
        <w:t>rejette la proposition de la Commission;</w:t>
      </w:r>
    </w:p>
    <w:p w14:paraId="48C9567B" w14:textId="32A2EF36" w:rsidR="002E163E" w:rsidRPr="00A54E03" w:rsidRDefault="002E163E" w:rsidP="002E163E">
      <w:pPr>
        <w:pStyle w:val="NormalHanging12a"/>
      </w:pPr>
      <w:r w:rsidRPr="00A54E03">
        <w:t>2.</w:t>
      </w:r>
      <w:r w:rsidRPr="00A54E03">
        <w:tab/>
        <w:t>invite la Commission à retirer sa proposition;</w:t>
      </w:r>
    </w:p>
    <w:p w14:paraId="6F078971" w14:textId="0C078BB5" w:rsidR="007E7AC2" w:rsidRDefault="002E163E" w:rsidP="00A54E03">
      <w:pPr>
        <w:pStyle w:val="NormalHanging12a"/>
      </w:pPr>
      <w:r w:rsidRPr="00A54E03">
        <w:t>3.</w:t>
      </w:r>
      <w:r w:rsidRPr="00A54E03">
        <w:tab/>
        <w:t>charge sa Présidente de transmettre la position du Parlement au Conseil et à la Commission ainsi qu’aux parlements nationaux.</w:t>
      </w:r>
    </w:p>
    <w:sectPr w:rsidR="007E7AC2" w:rsidSect="00A54E0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24E2B8" w14:textId="77777777" w:rsidR="00861F49" w:rsidRPr="00A54E03" w:rsidRDefault="00861F49">
      <w:r w:rsidRPr="00A54E03">
        <w:separator/>
      </w:r>
    </w:p>
  </w:endnote>
  <w:endnote w:type="continuationSeparator" w:id="0">
    <w:p w14:paraId="62AFBFA4" w14:textId="77777777" w:rsidR="00861F49" w:rsidRPr="00A54E03" w:rsidRDefault="00861F49">
      <w:r w:rsidRPr="00A54E0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941E7D" w14:textId="77777777" w:rsidR="00064002" w:rsidRPr="00A54E0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667229" w14:textId="77777777" w:rsidR="00064002" w:rsidRPr="00A54E0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2F5FF0" w14:textId="77777777" w:rsidR="00064002" w:rsidRPr="00A54E0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D91130" w14:textId="77777777" w:rsidR="00861F49" w:rsidRPr="00A54E03" w:rsidRDefault="00861F49">
      <w:r w:rsidRPr="00A54E03">
        <w:separator/>
      </w:r>
    </w:p>
  </w:footnote>
  <w:footnote w:type="continuationSeparator" w:id="0">
    <w:p w14:paraId="2FC2CDAC" w14:textId="77777777" w:rsidR="00861F49" w:rsidRPr="00A54E03" w:rsidRDefault="00861F49">
      <w:r w:rsidRPr="00A54E03">
        <w:continuationSeparator/>
      </w:r>
    </w:p>
  </w:footnote>
  <w:footnote w:id="1">
    <w:p w14:paraId="16CB280F" w14:textId="44B5E4D4" w:rsidR="007E7AC2" w:rsidRPr="00F83FB0" w:rsidRDefault="007E7AC2" w:rsidP="00485D46">
      <w:pPr>
        <w:pStyle w:val="FootnoteText"/>
        <w:tabs>
          <w:tab w:val="left" w:pos="709"/>
          <w:tab w:val="left" w:pos="851"/>
        </w:tabs>
        <w:ind w:left="567" w:hanging="567"/>
        <w:rPr>
          <w:sz w:val="24"/>
          <w:szCs w:val="24"/>
          <w:lang w:val="fr-BE"/>
        </w:rPr>
      </w:pPr>
      <w:r w:rsidRPr="00485D46">
        <w:rPr>
          <w:rStyle w:val="FootnoteReference"/>
          <w:sz w:val="24"/>
          <w:szCs w:val="24"/>
        </w:rPr>
        <w:footnoteRef/>
      </w:r>
      <w:r w:rsidRPr="00485D46">
        <w:rPr>
          <w:sz w:val="24"/>
          <w:szCs w:val="24"/>
        </w:rPr>
        <w:t xml:space="preserve"> </w:t>
      </w:r>
      <w:r w:rsidRPr="00485D46">
        <w:rPr>
          <w:sz w:val="24"/>
          <w:szCs w:val="24"/>
          <w:lang w:val="fr-BE"/>
        </w:rPr>
        <w:tab/>
        <w:t xml:space="preserve">Non encore </w:t>
      </w:r>
      <w:r w:rsidR="00541DA4" w:rsidRPr="00485D46">
        <w:rPr>
          <w:sz w:val="24"/>
          <w:szCs w:val="24"/>
          <w:lang w:val="fr-BE"/>
        </w:rPr>
        <w:t>paru</w:t>
      </w:r>
      <w:r w:rsidRPr="00485D46">
        <w:rPr>
          <w:sz w:val="24"/>
          <w:szCs w:val="24"/>
          <w:lang w:val="fr-BE"/>
        </w:rPr>
        <w:t xml:space="preserve"> au Journal officiel.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61B958" w14:textId="77777777" w:rsidR="00064002" w:rsidRPr="00A54E0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8E90A9" w14:textId="77777777" w:rsidR="00064002" w:rsidRPr="00A54E0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2F1F0E" w14:textId="77777777" w:rsidR="00064002" w:rsidRPr="00A54E0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709378233">
    <w:abstractNumId w:val="9"/>
  </w:num>
  <w:num w:numId="2" w16cid:durableId="1549564048">
    <w:abstractNumId w:val="9"/>
  </w:num>
  <w:num w:numId="3" w16cid:durableId="1818719404">
    <w:abstractNumId w:val="7"/>
  </w:num>
  <w:num w:numId="4" w16cid:durableId="1861963977">
    <w:abstractNumId w:val="7"/>
  </w:num>
  <w:num w:numId="5" w16cid:durableId="1957980273">
    <w:abstractNumId w:val="6"/>
  </w:num>
  <w:num w:numId="6" w16cid:durableId="2040934723">
    <w:abstractNumId w:val="6"/>
  </w:num>
  <w:num w:numId="7" w16cid:durableId="1803380207">
    <w:abstractNumId w:val="5"/>
  </w:num>
  <w:num w:numId="8" w16cid:durableId="2011132600">
    <w:abstractNumId w:val="5"/>
  </w:num>
  <w:num w:numId="9" w16cid:durableId="431781373">
    <w:abstractNumId w:val="4"/>
  </w:num>
  <w:num w:numId="10" w16cid:durableId="1929927731">
    <w:abstractNumId w:val="4"/>
  </w:num>
  <w:num w:numId="11" w16cid:durableId="1896968681">
    <w:abstractNumId w:val="8"/>
  </w:num>
  <w:num w:numId="12" w16cid:durableId="1967544951">
    <w:abstractNumId w:val="8"/>
  </w:num>
  <w:num w:numId="13" w16cid:durableId="1777553018">
    <w:abstractNumId w:val="3"/>
  </w:num>
  <w:num w:numId="14" w16cid:durableId="1460567740">
    <w:abstractNumId w:val="3"/>
  </w:num>
  <w:num w:numId="15" w16cid:durableId="1837650816">
    <w:abstractNumId w:val="2"/>
  </w:num>
  <w:num w:numId="16" w16cid:durableId="862015923">
    <w:abstractNumId w:val="2"/>
  </w:num>
  <w:num w:numId="17" w16cid:durableId="502555422">
    <w:abstractNumId w:val="1"/>
  </w:num>
  <w:num w:numId="18" w16cid:durableId="1156143871">
    <w:abstractNumId w:val="1"/>
  </w:num>
  <w:num w:numId="19" w16cid:durableId="446511212">
    <w:abstractNumId w:val="0"/>
  </w:num>
  <w:num w:numId="20" w16cid:durableId="1328511035">
    <w:abstractNumId w:val="0"/>
  </w:num>
  <w:num w:numId="21" w16cid:durableId="2031757296">
    <w:abstractNumId w:val="9"/>
  </w:num>
  <w:num w:numId="22" w16cid:durableId="1058406941">
    <w:abstractNumId w:val="7"/>
  </w:num>
  <w:num w:numId="23" w16cid:durableId="1190408036">
    <w:abstractNumId w:val="6"/>
  </w:num>
  <w:num w:numId="24" w16cid:durableId="2127308922">
    <w:abstractNumId w:val="5"/>
  </w:num>
  <w:num w:numId="25" w16cid:durableId="1322659336">
    <w:abstractNumId w:val="4"/>
  </w:num>
  <w:num w:numId="26" w16cid:durableId="2071727937">
    <w:abstractNumId w:val="8"/>
  </w:num>
  <w:num w:numId="27" w16cid:durableId="1842037025">
    <w:abstractNumId w:val="3"/>
  </w:num>
  <w:num w:numId="28" w16cid:durableId="581717900">
    <w:abstractNumId w:val="2"/>
  </w:num>
  <w:num w:numId="29" w16cid:durableId="1264534866">
    <w:abstractNumId w:val="1"/>
  </w:num>
  <w:num w:numId="30" w16cid:durableId="1711028669">
    <w:abstractNumId w:val="0"/>
  </w:num>
  <w:num w:numId="31" w16cid:durableId="1522892264">
    <w:abstractNumId w:val="9"/>
  </w:num>
  <w:num w:numId="32" w16cid:durableId="2113476238">
    <w:abstractNumId w:val="7"/>
  </w:num>
  <w:num w:numId="33" w16cid:durableId="860705033">
    <w:abstractNumId w:val="6"/>
  </w:num>
  <w:num w:numId="34" w16cid:durableId="873470341">
    <w:abstractNumId w:val="5"/>
  </w:num>
  <w:num w:numId="35" w16cid:durableId="453714147">
    <w:abstractNumId w:val="4"/>
  </w:num>
  <w:num w:numId="36" w16cid:durableId="1192184555">
    <w:abstractNumId w:val="8"/>
  </w:num>
  <w:num w:numId="37" w16cid:durableId="534730926">
    <w:abstractNumId w:val="3"/>
  </w:num>
  <w:num w:numId="38" w16cid:durableId="1033731435">
    <w:abstractNumId w:val="2"/>
  </w:num>
  <w:num w:numId="39" w16cid:durableId="2046127072">
    <w:abstractNumId w:val="1"/>
  </w:num>
  <w:num w:numId="40" w16cid:durableId="1330792662">
    <w:abstractNumId w:val="0"/>
  </w:num>
  <w:num w:numId="41" w16cid:durableId="335810153">
    <w:abstractNumId w:val="10"/>
  </w:num>
  <w:num w:numId="42" w16cid:durableId="1368719667">
    <w:abstractNumId w:val="10"/>
  </w:num>
  <w:num w:numId="43" w16cid:durableId="128010770">
    <w:abstractNumId w:val="10"/>
  </w:num>
  <w:num w:numId="44" w16cid:durableId="22132964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40/2026"/>
    <w:docVar w:name="dvlangue" w:val="FR"/>
    <w:docVar w:name="dvnumam" w:val="0"/>
    <w:docVar w:name="dvpe" w:val="784.310"/>
    <w:docVar w:name="dvrapporteur" w:val="Rapporteure: "/>
    <w:docVar w:name="dvstar" w:val="***I"/>
    <w:docVar w:name="dvtitre" w:val="Résolution législative du Parlement européen du ... 2026 sur la proposition de règlement du Parlement européen et du Conseil modifiant le règlement (UE) 2021/1232 en ce qui concerne la prolongation de sa période d’application(COM(2025)0797 – C10-0370/2025 – 2025/0429(COD))"/>
  </w:docVars>
  <w:rsids>
    <w:rsidRoot w:val="00861F49"/>
    <w:rsid w:val="00002272"/>
    <w:rsid w:val="00064002"/>
    <w:rsid w:val="000677B9"/>
    <w:rsid w:val="000831BA"/>
    <w:rsid w:val="000A42CC"/>
    <w:rsid w:val="000E7DD9"/>
    <w:rsid w:val="0010095E"/>
    <w:rsid w:val="00104F03"/>
    <w:rsid w:val="00125B37"/>
    <w:rsid w:val="00187494"/>
    <w:rsid w:val="001F32AE"/>
    <w:rsid w:val="002767FF"/>
    <w:rsid w:val="002B18FE"/>
    <w:rsid w:val="002B5493"/>
    <w:rsid w:val="002E163E"/>
    <w:rsid w:val="0033024B"/>
    <w:rsid w:val="00343214"/>
    <w:rsid w:val="00361C00"/>
    <w:rsid w:val="00395FA1"/>
    <w:rsid w:val="003E15D4"/>
    <w:rsid w:val="00411CCE"/>
    <w:rsid w:val="0041666E"/>
    <w:rsid w:val="00421060"/>
    <w:rsid w:val="00471C19"/>
    <w:rsid w:val="00485D46"/>
    <w:rsid w:val="004867E3"/>
    <w:rsid w:val="00494A28"/>
    <w:rsid w:val="004C0004"/>
    <w:rsid w:val="004C5D52"/>
    <w:rsid w:val="0050519A"/>
    <w:rsid w:val="005072A1"/>
    <w:rsid w:val="00514517"/>
    <w:rsid w:val="00541DA4"/>
    <w:rsid w:val="00545827"/>
    <w:rsid w:val="00560270"/>
    <w:rsid w:val="005C2568"/>
    <w:rsid w:val="005F1B17"/>
    <w:rsid w:val="006037C0"/>
    <w:rsid w:val="0065214C"/>
    <w:rsid w:val="006631B6"/>
    <w:rsid w:val="00680577"/>
    <w:rsid w:val="006F74FA"/>
    <w:rsid w:val="00724E34"/>
    <w:rsid w:val="00731ADD"/>
    <w:rsid w:val="00734777"/>
    <w:rsid w:val="00747932"/>
    <w:rsid w:val="00751A4A"/>
    <w:rsid w:val="00756632"/>
    <w:rsid w:val="00762C74"/>
    <w:rsid w:val="00775A21"/>
    <w:rsid w:val="00786EC0"/>
    <w:rsid w:val="007D1690"/>
    <w:rsid w:val="007E22AD"/>
    <w:rsid w:val="007E7AC2"/>
    <w:rsid w:val="00817416"/>
    <w:rsid w:val="00842779"/>
    <w:rsid w:val="00861F4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54E03"/>
    <w:rsid w:val="00A778C7"/>
    <w:rsid w:val="00A94E6D"/>
    <w:rsid w:val="00AB441E"/>
    <w:rsid w:val="00AB6293"/>
    <w:rsid w:val="00AE0928"/>
    <w:rsid w:val="00AF3B82"/>
    <w:rsid w:val="00B12E95"/>
    <w:rsid w:val="00B22876"/>
    <w:rsid w:val="00B558F0"/>
    <w:rsid w:val="00B917AE"/>
    <w:rsid w:val="00BD48FE"/>
    <w:rsid w:val="00BD7BD8"/>
    <w:rsid w:val="00BE6ADC"/>
    <w:rsid w:val="00C02FC1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A0F1A"/>
    <w:rsid w:val="00EB006A"/>
    <w:rsid w:val="00EB4772"/>
    <w:rsid w:val="00ED169E"/>
    <w:rsid w:val="00ED4235"/>
    <w:rsid w:val="00EE0087"/>
    <w:rsid w:val="00F04346"/>
    <w:rsid w:val="00F075DC"/>
    <w:rsid w:val="00F149E9"/>
    <w:rsid w:val="00F16FEF"/>
    <w:rsid w:val="00F5134D"/>
    <w:rsid w:val="00F74202"/>
    <w:rsid w:val="00F83FB0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DD8CC9F"/>
  <w15:chartTrackingRefBased/>
  <w15:docId w15:val="{AD2993E1-435C-420F-A1D4-363E4B7DCD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r-F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rsid w:val="00395FA1"/>
    <w:pPr>
      <w:keepLines/>
      <w:widowControl/>
      <w:spacing w:line="260" w:lineRule="exact"/>
      <w:ind w:left="425" w:hanging="425"/>
    </w:pPr>
    <w:rPr>
      <w:sz w:val="22"/>
      <w:lang w:eastAsia="fr-FR"/>
    </w:rPr>
  </w:style>
  <w:style w:type="character" w:customStyle="1" w:styleId="FootnoteTextChar">
    <w:name w:val="Footnote Text Char"/>
    <w:link w:val="FootnoteText"/>
    <w:uiPriority w:val="99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2E163E"/>
    <w:rPr>
      <w:b/>
    </w:rPr>
  </w:style>
  <w:style w:type="paragraph" w:customStyle="1" w:styleId="NormalHanging12a">
    <w:name w:val="NormalHanging12a"/>
    <w:basedOn w:val="Normal"/>
    <w:rsid w:val="002E163E"/>
    <w:pPr>
      <w:spacing w:after="240"/>
      <w:ind w:left="567" w:hanging="567"/>
    </w:pPr>
  </w:style>
  <w:style w:type="paragraph" w:customStyle="1" w:styleId="EPComma">
    <w:name w:val="EPComma"/>
    <w:basedOn w:val="Normal"/>
    <w:rsid w:val="002E163E"/>
    <w:pPr>
      <w:spacing w:before="480" w:after="240"/>
    </w:pPr>
  </w:style>
  <w:style w:type="character" w:customStyle="1" w:styleId="NormalBoldChar">
    <w:name w:val="NormalBold Char"/>
    <w:link w:val="NormalBold"/>
    <w:locked/>
    <w:rsid w:val="002E163E"/>
    <w:rPr>
      <w:b/>
      <w:sz w:val="24"/>
      <w:lang w:val="fr-FR"/>
    </w:rPr>
  </w:style>
  <w:style w:type="paragraph" w:styleId="Revision">
    <w:name w:val="Revision"/>
    <w:hidden/>
    <w:uiPriority w:val="99"/>
    <w:semiHidden/>
    <w:rsid w:val="007E7AC2"/>
    <w:rPr>
      <w:sz w:val="24"/>
      <w:lang w:val="fr-FR"/>
    </w:rPr>
  </w:style>
  <w:style w:type="paragraph" w:styleId="EndnoteText">
    <w:name w:val="endnote text"/>
    <w:basedOn w:val="Normal"/>
    <w:link w:val="EndnoteTextChar"/>
    <w:rsid w:val="007E7AC2"/>
    <w:rPr>
      <w:sz w:val="20"/>
    </w:rPr>
  </w:style>
  <w:style w:type="character" w:customStyle="1" w:styleId="EndnoteTextChar">
    <w:name w:val="Endnote Text Char"/>
    <w:basedOn w:val="DefaultParagraphFont"/>
    <w:link w:val="EndnoteText"/>
    <w:rsid w:val="007E7AC2"/>
    <w:rPr>
      <w:lang w:val="fr-FR"/>
    </w:rPr>
  </w:style>
  <w:style w:type="character" w:styleId="EndnoteReference">
    <w:name w:val="endnote reference"/>
    <w:basedOn w:val="DefaultParagraphFont"/>
    <w:rsid w:val="007E7AC2"/>
    <w:rPr>
      <w:vertAlign w:val="superscript"/>
    </w:rPr>
  </w:style>
  <w:style w:type="character" w:styleId="Hyperlink">
    <w:name w:val="Hyperlink"/>
    <w:basedOn w:val="DefaultParagraphFont"/>
    <w:uiPriority w:val="99"/>
    <w:rsid w:val="00C02FC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02FC1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rsid w:val="00F16FEF"/>
    <w:rPr>
      <w:sz w:val="16"/>
      <w:szCs w:val="16"/>
    </w:rPr>
  </w:style>
  <w:style w:type="paragraph" w:styleId="CommentText">
    <w:name w:val="annotation text"/>
    <w:basedOn w:val="Normal"/>
    <w:link w:val="CommentTextChar"/>
    <w:rsid w:val="00F16FEF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F16FEF"/>
    <w:rPr>
      <w:lang w:val="fr-FR"/>
    </w:rPr>
  </w:style>
  <w:style w:type="paragraph" w:styleId="CommentSubject">
    <w:name w:val="annotation subject"/>
    <w:basedOn w:val="CommentText"/>
    <w:next w:val="CommentText"/>
    <w:link w:val="CommentSubjectChar"/>
    <w:rsid w:val="00F16FEF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F16FEF"/>
    <w:rPr>
      <w:b/>
      <w:bCs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202</Words>
  <Characters>1375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DELECROIX Dorothee</dc:creator>
  <cp:keywords/>
  <cp:lastModifiedBy>DELECROIX Dorothee</cp:lastModifiedBy>
  <cp:revision>2</cp:revision>
  <cp:lastPrinted>2004-11-19T15:42:00Z</cp:lastPrinted>
  <dcterms:created xsi:type="dcterms:W3CDTF">2026-03-26T12:10:00Z</dcterms:created>
  <dcterms:modified xsi:type="dcterms:W3CDTF">2026-03-26T12:10:00Z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FR</vt:lpwstr>
  </property>
  <property fmtid="{D5CDD505-2E9C-101B-9397-08002B2CF9AE}" pid="3" name="&lt;FdR&gt;">
    <vt:lpwstr>A10-0040/2026</vt:lpwstr>
  </property>
  <property fmtid="{D5CDD505-2E9C-101B-9397-08002B2CF9AE}" pid="4" name="&lt;Type&gt;">
    <vt:lpwstr>RR</vt:lpwstr>
  </property>
</Properties>
</file>