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0366" w14:paraId="7F3416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D8E325" w14:textId="77777777" w:rsidR="00751A4A" w:rsidRPr="004F0366" w:rsidRDefault="004E1DDF" w:rsidP="0010095E">
            <w:pPr>
              <w:pStyle w:val="EPName"/>
            </w:pPr>
            <w:r w:rsidRPr="004F0366">
              <w:t>Europski parlament</w:t>
            </w:r>
          </w:p>
          <w:p w14:paraId="168EE653" w14:textId="77777777" w:rsidR="00751A4A" w:rsidRPr="004F03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0366">
              <w:t>2024</w:t>
            </w:r>
            <w:r w:rsidR="00817416" w:rsidRPr="004F0366">
              <w:t>-202</w:t>
            </w:r>
            <w:r w:rsidRPr="004F0366">
              <w:t>9</w:t>
            </w:r>
          </w:p>
        </w:tc>
        <w:tc>
          <w:tcPr>
            <w:tcW w:w="2268" w:type="dxa"/>
            <w:shd w:val="clear" w:color="auto" w:fill="auto"/>
          </w:tcPr>
          <w:p w14:paraId="0326B681" w14:textId="77777777" w:rsidR="00751A4A" w:rsidRPr="004F0366" w:rsidRDefault="00187494" w:rsidP="0010095E">
            <w:pPr>
              <w:pStyle w:val="EPLogo"/>
            </w:pPr>
            <w:r w:rsidRPr="004F0366">
              <w:rPr>
                <w:noProof/>
                <w:lang w:eastAsia="ja-JP"/>
              </w:rPr>
              <w:drawing>
                <wp:inline distT="0" distB="0" distL="0" distR="0" wp14:anchorId="04A49B9A" wp14:editId="39F226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59C42F" w14:textId="77777777" w:rsidR="00D058B8" w:rsidRPr="004F0366" w:rsidRDefault="00D058B8" w:rsidP="004C5D52">
      <w:pPr>
        <w:pStyle w:val="LineTop"/>
      </w:pPr>
    </w:p>
    <w:p w14:paraId="6AC7F000" w14:textId="77777777" w:rsidR="00680577" w:rsidRPr="004F0366" w:rsidRDefault="004E1DDF" w:rsidP="00680577">
      <w:pPr>
        <w:pStyle w:val="EPBodyTA1"/>
      </w:pPr>
      <w:r w:rsidRPr="004F0366">
        <w:t>USVOJENI TEKSTOVI</w:t>
      </w:r>
    </w:p>
    <w:p w14:paraId="134F214B" w14:textId="77777777" w:rsidR="00D058B8" w:rsidRPr="004F0366" w:rsidRDefault="00D058B8" w:rsidP="00D058B8">
      <w:pPr>
        <w:pStyle w:val="LineBottom"/>
      </w:pPr>
    </w:p>
    <w:p w14:paraId="5DBD064C" w14:textId="186C5579" w:rsidR="004E1DDF" w:rsidRPr="004F0366" w:rsidRDefault="004E1DDF" w:rsidP="004E1DDF">
      <w:pPr>
        <w:pStyle w:val="ATHeading1"/>
      </w:pPr>
      <w:bookmarkStart w:id="0" w:name="TANumber"/>
      <w:r w:rsidRPr="004F0366">
        <w:t>P10_TA(2026)00</w:t>
      </w:r>
      <w:r w:rsidR="00063856">
        <w:t>95</w:t>
      </w:r>
      <w:bookmarkEnd w:id="0"/>
    </w:p>
    <w:p w14:paraId="37A77976" w14:textId="61B89782" w:rsidR="004E1DDF" w:rsidRPr="000D23AA" w:rsidRDefault="009162CD" w:rsidP="004E1DDF">
      <w:pPr>
        <w:pStyle w:val="ATHeading2"/>
        <w:rPr>
          <w:szCs w:val="28"/>
        </w:rPr>
      </w:pPr>
      <w:bookmarkStart w:id="1" w:name="title"/>
      <w:r>
        <w:rPr>
          <w:szCs w:val="28"/>
          <w:shd w:val="clear" w:color="auto" w:fill="FFFFFF"/>
        </w:rPr>
        <w:t>I</w:t>
      </w:r>
      <w:r w:rsidR="000D23AA" w:rsidRPr="000D23AA">
        <w:rPr>
          <w:szCs w:val="28"/>
          <w:shd w:val="clear" w:color="auto" w:fill="FFFFFF"/>
        </w:rPr>
        <w:t>zmjen</w:t>
      </w:r>
      <w:r>
        <w:rPr>
          <w:szCs w:val="28"/>
          <w:shd w:val="clear" w:color="auto" w:fill="FFFFFF"/>
        </w:rPr>
        <w:t>a</w:t>
      </w:r>
      <w:r w:rsidR="000D23AA" w:rsidRPr="000D23AA">
        <w:rPr>
          <w:szCs w:val="28"/>
          <w:shd w:val="clear" w:color="auto" w:fill="FFFFFF"/>
        </w:rPr>
        <w:t xml:space="preserve"> Uredbe (EU) 2021/1232 u pogledu produljenja njezina razdoblja primjene</w:t>
      </w:r>
      <w:bookmarkEnd w:id="1"/>
    </w:p>
    <w:p w14:paraId="2EEB7444" w14:textId="77777777" w:rsidR="004E1DDF" w:rsidRPr="004F0366" w:rsidRDefault="004E1DDF" w:rsidP="004E1DDF">
      <w:pPr>
        <w:rPr>
          <w:i/>
          <w:vanish/>
        </w:rPr>
      </w:pPr>
      <w:r w:rsidRPr="004F0366">
        <w:rPr>
          <w:i/>
        </w:rPr>
        <w:fldChar w:fldCharType="begin"/>
      </w:r>
      <w:r w:rsidRPr="004F0366">
        <w:rPr>
          <w:i/>
        </w:rPr>
        <w:instrText xml:space="preserve"> TC"(</w:instrText>
      </w:r>
      <w:bookmarkStart w:id="2" w:name="DocNumber"/>
      <w:r w:rsidRPr="004F0366">
        <w:rPr>
          <w:i/>
        </w:rPr>
        <w:instrText>A10-0040/2026</w:instrText>
      </w:r>
      <w:bookmarkEnd w:id="2"/>
      <w:r w:rsidRPr="004F0366">
        <w:rPr>
          <w:i/>
        </w:rPr>
        <w:instrText xml:space="preserve"> - Izvjestiteljica: Birgit </w:instrText>
      </w:r>
      <w:proofErr w:type="spellStart"/>
      <w:r w:rsidRPr="004F0366">
        <w:rPr>
          <w:i/>
        </w:rPr>
        <w:instrText>Sippel</w:instrText>
      </w:r>
      <w:proofErr w:type="spellEnd"/>
      <w:r w:rsidRPr="004F0366">
        <w:rPr>
          <w:i/>
        </w:rPr>
        <w:instrText xml:space="preserve">)"\l3 \n&gt; \* MERGEFORMAT </w:instrText>
      </w:r>
      <w:r w:rsidRPr="004F0366">
        <w:rPr>
          <w:i/>
        </w:rPr>
        <w:fldChar w:fldCharType="end"/>
      </w:r>
    </w:p>
    <w:p w14:paraId="19D82AB9" w14:textId="77777777" w:rsidR="004E1DDF" w:rsidRPr="004F0366" w:rsidRDefault="004E1DDF" w:rsidP="004E1DDF">
      <w:pPr>
        <w:rPr>
          <w:vanish/>
        </w:rPr>
      </w:pPr>
      <w:bookmarkStart w:id="3" w:name="Commission"/>
      <w:r w:rsidRPr="004F0366">
        <w:rPr>
          <w:vanish/>
        </w:rPr>
        <w:t>Odbor za građanske slobode, pravosuđe i unutarnje poslove</w:t>
      </w:r>
      <w:bookmarkEnd w:id="3"/>
    </w:p>
    <w:p w14:paraId="14EBC2C4" w14:textId="77777777" w:rsidR="004E1DDF" w:rsidRPr="004F0366" w:rsidRDefault="004E1DDF" w:rsidP="004E1DDF">
      <w:pPr>
        <w:rPr>
          <w:vanish/>
        </w:rPr>
      </w:pPr>
      <w:bookmarkStart w:id="4" w:name="PE"/>
      <w:r w:rsidRPr="004F0366">
        <w:rPr>
          <w:vanish/>
        </w:rPr>
        <w:t>PE784.310</w:t>
      </w:r>
      <w:bookmarkEnd w:id="4"/>
    </w:p>
    <w:p w14:paraId="339B9E96" w14:textId="5DF72709" w:rsidR="004E1DDF" w:rsidRPr="004F0366" w:rsidRDefault="004E1DDF" w:rsidP="004E1DDF">
      <w:pPr>
        <w:pStyle w:val="ATHeading3"/>
      </w:pPr>
      <w:bookmarkStart w:id="5" w:name="Sujet"/>
      <w:r w:rsidRPr="004F0366">
        <w:t xml:space="preserve">Zakonodavna rezolucija Europskog parlamenta od </w:t>
      </w:r>
      <w:r w:rsidR="00970328">
        <w:t>26</w:t>
      </w:r>
      <w:r w:rsidRPr="004F0366">
        <w:t xml:space="preserve">. </w:t>
      </w:r>
      <w:r w:rsidR="004F0366">
        <w:t xml:space="preserve">ožujka </w:t>
      </w:r>
      <w:r w:rsidRPr="004F0366">
        <w:t>2026. o Prijedlogu uredbe Europskog parlamenta i Vijeća o izmjeni Uredbe (EU) 2021/1232 u pogledu produljenja njezina razdoblja primjene</w:t>
      </w:r>
      <w:bookmarkEnd w:id="5"/>
      <w:r w:rsidRPr="004F0366">
        <w:t xml:space="preserve"> </w:t>
      </w:r>
      <w:bookmarkStart w:id="6" w:name="References"/>
      <w:r w:rsidRPr="004F0366">
        <w:t>(COM(2025)0797 – C10-0370/2025 – 2025/0429(COD))</w:t>
      </w:r>
      <w:bookmarkEnd w:id="6"/>
    </w:p>
    <w:p w14:paraId="741FC1F9" w14:textId="77777777" w:rsidR="004E1DDF" w:rsidRPr="004F0366" w:rsidRDefault="004E1DDF" w:rsidP="004E1DDF"/>
    <w:p w14:paraId="549085FC" w14:textId="77777777" w:rsidR="00945B81" w:rsidRPr="004F0366" w:rsidRDefault="00945B81" w:rsidP="00945B81">
      <w:pPr>
        <w:pStyle w:val="NormalBold"/>
      </w:pPr>
      <w:bookmarkStart w:id="7" w:name="TextBodyBegin"/>
      <w:bookmarkEnd w:id="7"/>
      <w:r w:rsidRPr="004F0366">
        <w:t>(Redovni zakonodavni postupak: prvo čitanje)</w:t>
      </w:r>
    </w:p>
    <w:p w14:paraId="4770EAA4" w14:textId="77777777" w:rsidR="00945B81" w:rsidRPr="004F0366" w:rsidRDefault="00945B81" w:rsidP="00945B81">
      <w:pPr>
        <w:pStyle w:val="EPComma"/>
      </w:pPr>
      <w:r w:rsidRPr="004F0366">
        <w:rPr>
          <w:i/>
        </w:rPr>
        <w:t>Europski parlament</w:t>
      </w:r>
      <w:r w:rsidRPr="004F0366">
        <w:t>,</w:t>
      </w:r>
    </w:p>
    <w:p w14:paraId="51E6641A" w14:textId="77777777" w:rsidR="00945B81" w:rsidRPr="004F0366" w:rsidRDefault="00945B81" w:rsidP="00945B81">
      <w:pPr>
        <w:pStyle w:val="NormalHanging12a"/>
      </w:pPr>
      <w:r w:rsidRPr="004F0366">
        <w:t>–</w:t>
      </w:r>
      <w:r w:rsidRPr="004F0366">
        <w:tab/>
        <w:t>uzimajući u obzir Prijedlog Komisije upućen Europskom parlamentu i Vijeću (COM(2025)0797),</w:t>
      </w:r>
    </w:p>
    <w:p w14:paraId="0E9B2113" w14:textId="77777777" w:rsidR="00945B81" w:rsidRPr="004F0366" w:rsidRDefault="00945B81" w:rsidP="00945B81">
      <w:pPr>
        <w:pStyle w:val="NormalHanging12a"/>
      </w:pPr>
      <w:r w:rsidRPr="004F0366">
        <w:t>–</w:t>
      </w:r>
      <w:r w:rsidRPr="004F0366">
        <w:tab/>
        <w:t>uzimajući u obzir članak 294. stavak 2., članak 16. stavak 2. i članak 114. stavak 1. Ugovora o funkcioniranju Europske unije, u skladu s kojima je Komisija podnijela Prijedlog Parlamentu (C10</w:t>
      </w:r>
      <w:r w:rsidRPr="004F0366">
        <w:noBreakHyphen/>
        <w:t>0370/2025),</w:t>
      </w:r>
    </w:p>
    <w:p w14:paraId="70509165" w14:textId="77777777" w:rsidR="00945B81" w:rsidRDefault="00945B81" w:rsidP="00945B81">
      <w:pPr>
        <w:pStyle w:val="NormalHanging12a"/>
      </w:pPr>
      <w:r w:rsidRPr="004F0366">
        <w:t>–</w:t>
      </w:r>
      <w:r w:rsidRPr="004F0366">
        <w:tab/>
        <w:t>uzimajući u obzir članak 294. stavak 3. Ugovora o funkcioniranju Europske unije,</w:t>
      </w:r>
    </w:p>
    <w:p w14:paraId="356772FB" w14:textId="458FC9E8" w:rsidR="008078CC" w:rsidRPr="004F0366" w:rsidRDefault="008078CC" w:rsidP="00945B81">
      <w:pPr>
        <w:pStyle w:val="NormalHanging12a"/>
      </w:pPr>
      <w:r w:rsidRPr="004F0366">
        <w:t>–</w:t>
      </w:r>
      <w:r w:rsidRPr="004F0366">
        <w:tab/>
        <w:t xml:space="preserve">uzimajući u obzir </w:t>
      </w:r>
      <w:r>
        <w:t>mišljenje Europskoga gospodarskog i socijalnog odbora od 21. siječnja 2026.</w:t>
      </w:r>
      <w:r>
        <w:rPr>
          <w:rStyle w:val="FootnoteReference"/>
        </w:rPr>
        <w:footnoteReference w:id="1"/>
      </w:r>
      <w:r>
        <w:t>,</w:t>
      </w:r>
    </w:p>
    <w:p w14:paraId="5DE6B212" w14:textId="77777777" w:rsidR="00945B81" w:rsidRPr="004F0366" w:rsidRDefault="00945B81" w:rsidP="00945B81">
      <w:pPr>
        <w:pStyle w:val="NormalHanging12a"/>
      </w:pPr>
      <w:r w:rsidRPr="004F0366">
        <w:t>–</w:t>
      </w:r>
      <w:r w:rsidRPr="004F0366">
        <w:tab/>
        <w:t>uzimajući u obzir članak 60. Poslovnika,</w:t>
      </w:r>
    </w:p>
    <w:p w14:paraId="764A4968" w14:textId="77777777" w:rsidR="00945B81" w:rsidRPr="004F0366" w:rsidRDefault="00945B81" w:rsidP="00945B81">
      <w:pPr>
        <w:pStyle w:val="NormalHanging12a"/>
      </w:pPr>
      <w:r w:rsidRPr="004F0366">
        <w:t>–</w:t>
      </w:r>
      <w:r w:rsidRPr="004F0366">
        <w:tab/>
        <w:t>uzimajući u obzir izvješće Odbora za građanske slobode, pravosuđe i unutarnje poslove (A10</w:t>
      </w:r>
      <w:r w:rsidRPr="004F0366">
        <w:noBreakHyphen/>
        <w:t>0040/2026),</w:t>
      </w:r>
    </w:p>
    <w:p w14:paraId="1AEF1810" w14:textId="3DCDCE5D" w:rsidR="00945B81" w:rsidRPr="004F0366" w:rsidRDefault="00945B81" w:rsidP="00945B81">
      <w:pPr>
        <w:pStyle w:val="NormalHanging12a"/>
      </w:pPr>
      <w:r w:rsidRPr="004F0366">
        <w:t>1.</w:t>
      </w:r>
      <w:r w:rsidRPr="004F0366">
        <w:tab/>
      </w:r>
      <w:r w:rsidR="001F0DA9">
        <w:t>odbija Prijedlog Komisije</w:t>
      </w:r>
      <w:r w:rsidRPr="004F0366">
        <w:t>;</w:t>
      </w:r>
    </w:p>
    <w:p w14:paraId="617AEC43" w14:textId="1B72AA44" w:rsidR="00945B81" w:rsidRPr="004F0366" w:rsidRDefault="00945B81" w:rsidP="00945B81">
      <w:pPr>
        <w:pStyle w:val="NormalHanging12a"/>
      </w:pPr>
      <w:r w:rsidRPr="004F0366">
        <w:t>2.</w:t>
      </w:r>
      <w:r w:rsidRPr="004F0366">
        <w:tab/>
      </w:r>
      <w:r w:rsidR="001F0DA9">
        <w:t>poziva Komisiju da povuče svoj Prijedlog</w:t>
      </w:r>
      <w:r w:rsidRPr="008078CC">
        <w:rPr>
          <w:szCs w:val="24"/>
        </w:rPr>
        <w:t>;</w:t>
      </w:r>
    </w:p>
    <w:p w14:paraId="0DC7CB77" w14:textId="7B8E2F07" w:rsidR="00E365E1" w:rsidRPr="004F0366" w:rsidRDefault="00945B81" w:rsidP="00271246">
      <w:pPr>
        <w:ind w:left="567" w:hanging="567"/>
      </w:pPr>
      <w:r w:rsidRPr="004F0366">
        <w:t>3.</w:t>
      </w:r>
      <w:r w:rsidRPr="004F0366">
        <w:tab/>
        <w:t>nalaže svojoj predsjednici da stajalište Parlamenta proslijedi Vijeću, Komisiji i nacionalnim parlamentima.</w:t>
      </w:r>
    </w:p>
    <w:sectPr w:rsidR="00E365E1" w:rsidRPr="004F0366" w:rsidSect="00D11A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9B0" w14:textId="77777777" w:rsidR="004E1DDF" w:rsidRPr="00D11ADA" w:rsidRDefault="004E1DDF">
      <w:r w:rsidRPr="00D11ADA">
        <w:separator/>
      </w:r>
    </w:p>
  </w:endnote>
  <w:endnote w:type="continuationSeparator" w:id="0">
    <w:p w14:paraId="0B3D1F45" w14:textId="77777777" w:rsidR="004E1DDF" w:rsidRPr="00D11ADA" w:rsidRDefault="004E1DDF">
      <w:r w:rsidRPr="00D11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807AE" w14:textId="77777777" w:rsidR="00064002" w:rsidRPr="00D11A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CB8A4" w14:textId="77777777" w:rsidR="00064002" w:rsidRPr="00D11A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F3955" w14:textId="77777777" w:rsidR="00064002" w:rsidRPr="00D11A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9947E" w14:textId="77777777" w:rsidR="004E1DDF" w:rsidRPr="00D11ADA" w:rsidRDefault="004E1DDF">
      <w:r w:rsidRPr="00D11ADA">
        <w:separator/>
      </w:r>
    </w:p>
  </w:footnote>
  <w:footnote w:type="continuationSeparator" w:id="0">
    <w:p w14:paraId="76B06B18" w14:textId="77777777" w:rsidR="004E1DDF" w:rsidRPr="00D11ADA" w:rsidRDefault="004E1DDF">
      <w:r w:rsidRPr="00D11ADA">
        <w:continuationSeparator/>
      </w:r>
    </w:p>
  </w:footnote>
  <w:footnote w:id="1">
    <w:p w14:paraId="0B93CD3A" w14:textId="62DE44E5" w:rsidR="008078CC" w:rsidRPr="00063856" w:rsidRDefault="008078CC" w:rsidP="00063856">
      <w:pPr>
        <w:pStyle w:val="FootnoteText"/>
        <w:ind w:left="567" w:hanging="567"/>
        <w:rPr>
          <w:sz w:val="24"/>
          <w:szCs w:val="24"/>
          <w:lang w:val="hr-HR"/>
        </w:rPr>
      </w:pPr>
      <w:r w:rsidRPr="00063856">
        <w:rPr>
          <w:rStyle w:val="FootnoteReference"/>
          <w:sz w:val="24"/>
          <w:szCs w:val="24"/>
        </w:rPr>
        <w:footnoteRef/>
      </w:r>
      <w:r w:rsidRPr="00063856">
        <w:rPr>
          <w:sz w:val="24"/>
          <w:szCs w:val="24"/>
          <w:lang w:val="pl-PL"/>
        </w:rPr>
        <w:t xml:space="preserve"> </w:t>
      </w:r>
      <w:r w:rsidRPr="00063856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450B" w14:textId="77777777" w:rsidR="00064002" w:rsidRPr="00D11A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4A059" w14:textId="77777777" w:rsidR="00064002" w:rsidRPr="00D11A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CD1BC" w14:textId="77777777" w:rsidR="00064002" w:rsidRPr="00D11A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1800440">
    <w:abstractNumId w:val="9"/>
  </w:num>
  <w:num w:numId="2" w16cid:durableId="2103640821">
    <w:abstractNumId w:val="9"/>
  </w:num>
  <w:num w:numId="3" w16cid:durableId="2082681029">
    <w:abstractNumId w:val="7"/>
  </w:num>
  <w:num w:numId="4" w16cid:durableId="195196577">
    <w:abstractNumId w:val="7"/>
  </w:num>
  <w:num w:numId="5" w16cid:durableId="682973226">
    <w:abstractNumId w:val="6"/>
  </w:num>
  <w:num w:numId="6" w16cid:durableId="1358967927">
    <w:abstractNumId w:val="6"/>
  </w:num>
  <w:num w:numId="7" w16cid:durableId="70784631">
    <w:abstractNumId w:val="5"/>
  </w:num>
  <w:num w:numId="8" w16cid:durableId="1102991738">
    <w:abstractNumId w:val="5"/>
  </w:num>
  <w:num w:numId="9" w16cid:durableId="308248234">
    <w:abstractNumId w:val="4"/>
  </w:num>
  <w:num w:numId="10" w16cid:durableId="1279878336">
    <w:abstractNumId w:val="4"/>
  </w:num>
  <w:num w:numId="11" w16cid:durableId="2125490400">
    <w:abstractNumId w:val="8"/>
  </w:num>
  <w:num w:numId="12" w16cid:durableId="1291086449">
    <w:abstractNumId w:val="8"/>
  </w:num>
  <w:num w:numId="13" w16cid:durableId="1557203224">
    <w:abstractNumId w:val="3"/>
  </w:num>
  <w:num w:numId="14" w16cid:durableId="1445803658">
    <w:abstractNumId w:val="3"/>
  </w:num>
  <w:num w:numId="15" w16cid:durableId="1610239919">
    <w:abstractNumId w:val="2"/>
  </w:num>
  <w:num w:numId="16" w16cid:durableId="1586843963">
    <w:abstractNumId w:val="2"/>
  </w:num>
  <w:num w:numId="17" w16cid:durableId="1421491302">
    <w:abstractNumId w:val="1"/>
  </w:num>
  <w:num w:numId="18" w16cid:durableId="1610508265">
    <w:abstractNumId w:val="1"/>
  </w:num>
  <w:num w:numId="19" w16cid:durableId="32585733">
    <w:abstractNumId w:val="0"/>
  </w:num>
  <w:num w:numId="20" w16cid:durableId="243271886">
    <w:abstractNumId w:val="0"/>
  </w:num>
  <w:num w:numId="21" w16cid:durableId="341902707">
    <w:abstractNumId w:val="9"/>
  </w:num>
  <w:num w:numId="22" w16cid:durableId="1194534652">
    <w:abstractNumId w:val="7"/>
  </w:num>
  <w:num w:numId="23" w16cid:durableId="246421805">
    <w:abstractNumId w:val="6"/>
  </w:num>
  <w:num w:numId="24" w16cid:durableId="2088531755">
    <w:abstractNumId w:val="5"/>
  </w:num>
  <w:num w:numId="25" w16cid:durableId="1143038466">
    <w:abstractNumId w:val="4"/>
  </w:num>
  <w:num w:numId="26" w16cid:durableId="1373651944">
    <w:abstractNumId w:val="8"/>
  </w:num>
  <w:num w:numId="27" w16cid:durableId="1562207478">
    <w:abstractNumId w:val="3"/>
  </w:num>
  <w:num w:numId="28" w16cid:durableId="93281498">
    <w:abstractNumId w:val="2"/>
  </w:num>
  <w:num w:numId="29" w16cid:durableId="1913080655">
    <w:abstractNumId w:val="1"/>
  </w:num>
  <w:num w:numId="30" w16cid:durableId="1742748667">
    <w:abstractNumId w:val="0"/>
  </w:num>
  <w:num w:numId="31" w16cid:durableId="1162163804">
    <w:abstractNumId w:val="9"/>
  </w:num>
  <w:num w:numId="32" w16cid:durableId="1665891344">
    <w:abstractNumId w:val="7"/>
  </w:num>
  <w:num w:numId="33" w16cid:durableId="85349314">
    <w:abstractNumId w:val="6"/>
  </w:num>
  <w:num w:numId="34" w16cid:durableId="1440491389">
    <w:abstractNumId w:val="5"/>
  </w:num>
  <w:num w:numId="35" w16cid:durableId="1246379058">
    <w:abstractNumId w:val="4"/>
  </w:num>
  <w:num w:numId="36" w16cid:durableId="522864698">
    <w:abstractNumId w:val="8"/>
  </w:num>
  <w:num w:numId="37" w16cid:durableId="1117676728">
    <w:abstractNumId w:val="3"/>
  </w:num>
  <w:num w:numId="38" w16cid:durableId="1136951248">
    <w:abstractNumId w:val="2"/>
  </w:num>
  <w:num w:numId="39" w16cid:durableId="154686676">
    <w:abstractNumId w:val="1"/>
  </w:num>
  <w:num w:numId="40" w16cid:durableId="2021616359">
    <w:abstractNumId w:val="0"/>
  </w:num>
  <w:num w:numId="41" w16cid:durableId="533032790">
    <w:abstractNumId w:val="10"/>
  </w:num>
  <w:num w:numId="42" w16cid:durableId="28993828">
    <w:abstractNumId w:val="10"/>
  </w:num>
  <w:num w:numId="43" w16cid:durableId="1875000749">
    <w:abstractNumId w:val="10"/>
  </w:num>
  <w:num w:numId="44" w16cid:durableId="849836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HR"/>
    <w:docVar w:name="dvnumam" w:val="0"/>
    <w:docVar w:name="dvpe" w:val="784.310"/>
    <w:docVar w:name="dvrapporteur" w:val="Izvjestiteljica: "/>
    <w:docVar w:name="dvstar" w:val="***I"/>
    <w:docVar w:name="dvtitre" w:val="Zakonodavna rezolucija Europskog parlamenta od .... 2026. o Prijedlogu uredbe Europskog parlamenta i Vijeća o izmjeni Uredbe (EU) 2021/1232 u pogledu produljenja njezina razdoblja primjene(COM(2025)0797 – C10-0370/2025 – 2025/0429(COD))"/>
  </w:docVars>
  <w:rsids>
    <w:rsidRoot w:val="004E1DDF"/>
    <w:rsid w:val="00002272"/>
    <w:rsid w:val="00063856"/>
    <w:rsid w:val="00064002"/>
    <w:rsid w:val="000677B9"/>
    <w:rsid w:val="000831BA"/>
    <w:rsid w:val="000A42CC"/>
    <w:rsid w:val="000D23AA"/>
    <w:rsid w:val="000E7DD9"/>
    <w:rsid w:val="0010095E"/>
    <w:rsid w:val="00125B37"/>
    <w:rsid w:val="00177878"/>
    <w:rsid w:val="00187494"/>
    <w:rsid w:val="001F0DA9"/>
    <w:rsid w:val="001F32AE"/>
    <w:rsid w:val="00271246"/>
    <w:rsid w:val="002767FF"/>
    <w:rsid w:val="002B18FE"/>
    <w:rsid w:val="002B5493"/>
    <w:rsid w:val="003256F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DDF"/>
    <w:rsid w:val="004F0366"/>
    <w:rsid w:val="0050519A"/>
    <w:rsid w:val="005072A1"/>
    <w:rsid w:val="00514517"/>
    <w:rsid w:val="00545827"/>
    <w:rsid w:val="00560270"/>
    <w:rsid w:val="00591A50"/>
    <w:rsid w:val="005C2568"/>
    <w:rsid w:val="005F1B17"/>
    <w:rsid w:val="006037C0"/>
    <w:rsid w:val="006631B6"/>
    <w:rsid w:val="00680577"/>
    <w:rsid w:val="006959FD"/>
    <w:rsid w:val="006F74FA"/>
    <w:rsid w:val="00731ADD"/>
    <w:rsid w:val="00734777"/>
    <w:rsid w:val="00747932"/>
    <w:rsid w:val="00751A4A"/>
    <w:rsid w:val="00756632"/>
    <w:rsid w:val="00762C74"/>
    <w:rsid w:val="0077037B"/>
    <w:rsid w:val="00786EC0"/>
    <w:rsid w:val="007D1690"/>
    <w:rsid w:val="007E22AD"/>
    <w:rsid w:val="008078CC"/>
    <w:rsid w:val="00817416"/>
    <w:rsid w:val="00842779"/>
    <w:rsid w:val="00865F67"/>
    <w:rsid w:val="00881A7B"/>
    <w:rsid w:val="008840E5"/>
    <w:rsid w:val="00887B3E"/>
    <w:rsid w:val="008C2AC6"/>
    <w:rsid w:val="009162CD"/>
    <w:rsid w:val="00930C23"/>
    <w:rsid w:val="0093193B"/>
    <w:rsid w:val="00945B81"/>
    <w:rsid w:val="009509D8"/>
    <w:rsid w:val="00950B64"/>
    <w:rsid w:val="00970328"/>
    <w:rsid w:val="00981893"/>
    <w:rsid w:val="009E168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24D"/>
    <w:rsid w:val="00B9705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ADA"/>
    <w:rsid w:val="00D31E29"/>
    <w:rsid w:val="00D56C11"/>
    <w:rsid w:val="00D834A0"/>
    <w:rsid w:val="00D872DF"/>
    <w:rsid w:val="00D91E21"/>
    <w:rsid w:val="00DA7FCD"/>
    <w:rsid w:val="00E365E1"/>
    <w:rsid w:val="00E820A4"/>
    <w:rsid w:val="00EB006A"/>
    <w:rsid w:val="00EB0960"/>
    <w:rsid w:val="00EB4772"/>
    <w:rsid w:val="00ED169E"/>
    <w:rsid w:val="00ED4235"/>
    <w:rsid w:val="00F04346"/>
    <w:rsid w:val="00F075DC"/>
    <w:rsid w:val="00F149E9"/>
    <w:rsid w:val="00F5134D"/>
    <w:rsid w:val="00F73C8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4F45A"/>
  <w15:chartTrackingRefBased/>
  <w15:docId w15:val="{409CFF79-317C-4BD6-8330-7A24D9E1B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45B81"/>
    <w:rPr>
      <w:b/>
    </w:rPr>
  </w:style>
  <w:style w:type="paragraph" w:customStyle="1" w:styleId="NormalHanging12a">
    <w:name w:val="NormalHanging12a"/>
    <w:basedOn w:val="Normal"/>
    <w:rsid w:val="00945B81"/>
    <w:pPr>
      <w:spacing w:after="240"/>
      <w:ind w:left="567" w:hanging="567"/>
    </w:pPr>
  </w:style>
  <w:style w:type="paragraph" w:customStyle="1" w:styleId="EPComma">
    <w:name w:val="EPComma"/>
    <w:basedOn w:val="Normal"/>
    <w:rsid w:val="00945B81"/>
    <w:pPr>
      <w:spacing w:before="480" w:after="240"/>
    </w:pPr>
  </w:style>
  <w:style w:type="character" w:customStyle="1" w:styleId="NormalBoldChar">
    <w:name w:val="NormalBold Char"/>
    <w:link w:val="NormalBold"/>
    <w:locked/>
    <w:rsid w:val="00945B81"/>
    <w:rPr>
      <w:b/>
      <w:sz w:val="24"/>
      <w:lang w:val="hr-HR"/>
    </w:rPr>
  </w:style>
  <w:style w:type="character" w:styleId="CommentReference">
    <w:name w:val="annotation reference"/>
    <w:basedOn w:val="DefaultParagraphFont"/>
    <w:rsid w:val="000D23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23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23A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0D2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23AA"/>
    <w:rPr>
      <w:b/>
      <w:bCs/>
      <w:lang w:val="hr-HR"/>
    </w:rPr>
  </w:style>
  <w:style w:type="paragraph" w:styleId="Revision">
    <w:name w:val="Revision"/>
    <w:hidden/>
    <w:uiPriority w:val="99"/>
    <w:semiHidden/>
    <w:rsid w:val="008078CC"/>
    <w:rPr>
      <w:sz w:val="24"/>
      <w:lang w:val="hr-HR"/>
    </w:rPr>
  </w:style>
  <w:style w:type="character" w:styleId="Hyperlink">
    <w:name w:val="Hyperlink"/>
    <w:basedOn w:val="DefaultParagraphFont"/>
    <w:rsid w:val="003256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2026-03-26T12:33:00Z</dcterms:created>
  <dcterms:modified xsi:type="dcterms:W3CDTF">2026-03-26T12:33:00Z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