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3266B" w14:paraId="1DC66B2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DE7A9CD" w14:textId="77777777" w:rsidR="00751A4A" w:rsidRPr="0083266B" w:rsidRDefault="008B3EA0" w:rsidP="0010095E">
            <w:pPr>
              <w:pStyle w:val="EPName"/>
            </w:pPr>
            <w:r w:rsidRPr="0083266B">
              <w:t>Parlamento europeo</w:t>
            </w:r>
          </w:p>
          <w:p w14:paraId="1B6A1523" w14:textId="77777777" w:rsidR="00751A4A" w:rsidRPr="0083266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3266B">
              <w:t>2024</w:t>
            </w:r>
            <w:r w:rsidR="00817416" w:rsidRPr="0083266B">
              <w:t>-202</w:t>
            </w:r>
            <w:r w:rsidRPr="0083266B">
              <w:t>9</w:t>
            </w:r>
          </w:p>
        </w:tc>
        <w:tc>
          <w:tcPr>
            <w:tcW w:w="2268" w:type="dxa"/>
            <w:shd w:val="clear" w:color="auto" w:fill="auto"/>
          </w:tcPr>
          <w:p w14:paraId="4FB99643" w14:textId="77777777" w:rsidR="00751A4A" w:rsidRPr="0083266B" w:rsidRDefault="00187494" w:rsidP="0010095E">
            <w:pPr>
              <w:pStyle w:val="EPLogo"/>
            </w:pPr>
            <w:r w:rsidRPr="0083266B">
              <w:rPr>
                <w:noProof/>
                <w:lang w:eastAsia="ja-JP"/>
              </w:rPr>
              <w:drawing>
                <wp:inline distT="0" distB="0" distL="0" distR="0" wp14:anchorId="601584E8" wp14:editId="3498985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0A40DD" w14:textId="77777777" w:rsidR="00D058B8" w:rsidRPr="0083266B" w:rsidRDefault="00D058B8" w:rsidP="004C5D52">
      <w:pPr>
        <w:pStyle w:val="LineTop"/>
      </w:pPr>
    </w:p>
    <w:p w14:paraId="04673BE0" w14:textId="77777777" w:rsidR="00680577" w:rsidRPr="0083266B" w:rsidRDefault="008B3EA0" w:rsidP="00680577">
      <w:pPr>
        <w:pStyle w:val="EPBodyTA1"/>
      </w:pPr>
      <w:r w:rsidRPr="0083266B">
        <w:t>TESTI APPROVATI</w:t>
      </w:r>
    </w:p>
    <w:p w14:paraId="0770AED6" w14:textId="77777777" w:rsidR="00D058B8" w:rsidRPr="0083266B" w:rsidRDefault="00D058B8" w:rsidP="00D058B8">
      <w:pPr>
        <w:pStyle w:val="LineBottom"/>
      </w:pPr>
    </w:p>
    <w:p w14:paraId="08EFEC89" w14:textId="757227C6" w:rsidR="008B3EA0" w:rsidRPr="0083266B" w:rsidRDefault="008B3EA0" w:rsidP="008B3EA0">
      <w:pPr>
        <w:pStyle w:val="ATHeading1"/>
      </w:pPr>
      <w:bookmarkStart w:id="0" w:name="TANumber"/>
      <w:r w:rsidRPr="0083266B">
        <w:t>P10_</w:t>
      </w:r>
      <w:proofErr w:type="gramStart"/>
      <w:r w:rsidRPr="0083266B">
        <w:t>TA(</w:t>
      </w:r>
      <w:proofErr w:type="gramEnd"/>
      <w:r w:rsidRPr="0083266B">
        <w:t>2026)00</w:t>
      </w:r>
      <w:r w:rsidR="00E66F6F" w:rsidRPr="0083266B">
        <w:t>95</w:t>
      </w:r>
      <w:bookmarkEnd w:id="0"/>
    </w:p>
    <w:p w14:paraId="7751FE5C" w14:textId="3DAB1769" w:rsidR="008B3EA0" w:rsidRPr="0083266B" w:rsidRDefault="00740798" w:rsidP="008B3EA0">
      <w:pPr>
        <w:pStyle w:val="ATHeading2"/>
      </w:pPr>
      <w:bookmarkStart w:id="1" w:name="title"/>
      <w:r w:rsidRPr="0083266B">
        <w:t>M</w:t>
      </w:r>
      <w:r w:rsidR="008B3EA0" w:rsidRPr="0083266B">
        <w:t xml:space="preserve">odifica </w:t>
      </w:r>
      <w:r w:rsidRPr="0083266B">
        <w:t>de</w:t>
      </w:r>
      <w:r w:rsidR="008B3EA0" w:rsidRPr="0083266B">
        <w:t>l regolamento (UE) 2021/1232 per quanto riguarda la proroga del suo periodo di applicazione</w:t>
      </w:r>
      <w:bookmarkEnd w:id="1"/>
    </w:p>
    <w:p w14:paraId="1F981146" w14:textId="77777777" w:rsidR="008B3EA0" w:rsidRPr="0083266B" w:rsidRDefault="008B3EA0" w:rsidP="008B3EA0">
      <w:pPr>
        <w:rPr>
          <w:i/>
          <w:vanish/>
        </w:rPr>
      </w:pPr>
      <w:r w:rsidRPr="0083266B">
        <w:rPr>
          <w:i/>
        </w:rPr>
        <w:fldChar w:fldCharType="begin"/>
      </w:r>
      <w:r w:rsidRPr="0083266B">
        <w:rPr>
          <w:i/>
        </w:rPr>
        <w:instrText xml:space="preserve"> TC"(</w:instrText>
      </w:r>
      <w:bookmarkStart w:id="2" w:name="DocNumber"/>
      <w:r w:rsidRPr="0083266B">
        <w:rPr>
          <w:i/>
        </w:rPr>
        <w:instrText>A10-0040/2026</w:instrText>
      </w:r>
      <w:bookmarkEnd w:id="2"/>
      <w:r w:rsidRPr="0083266B">
        <w:rPr>
          <w:i/>
        </w:rPr>
        <w:instrText xml:space="preserve"> - Relatrice: Birgit Sippel)"\l3 \n&gt; \* MERGEFORMAT </w:instrText>
      </w:r>
      <w:r w:rsidRPr="0083266B">
        <w:rPr>
          <w:i/>
        </w:rPr>
        <w:fldChar w:fldCharType="end"/>
      </w:r>
    </w:p>
    <w:p w14:paraId="27DB7C07" w14:textId="77777777" w:rsidR="008B3EA0" w:rsidRPr="0083266B" w:rsidRDefault="008B3EA0" w:rsidP="008B3EA0">
      <w:pPr>
        <w:rPr>
          <w:vanish/>
        </w:rPr>
      </w:pPr>
      <w:bookmarkStart w:id="3" w:name="Commission"/>
      <w:r w:rsidRPr="0083266B">
        <w:rPr>
          <w:vanish/>
        </w:rPr>
        <w:t>Commissione per le libertà civili, la giustizia e gli affari interni</w:t>
      </w:r>
      <w:bookmarkEnd w:id="3"/>
    </w:p>
    <w:p w14:paraId="2A31EAF7" w14:textId="77777777" w:rsidR="008B3EA0" w:rsidRPr="0083266B" w:rsidRDefault="008B3EA0" w:rsidP="008B3EA0">
      <w:pPr>
        <w:rPr>
          <w:vanish/>
        </w:rPr>
      </w:pPr>
      <w:bookmarkStart w:id="4" w:name="PE"/>
      <w:r w:rsidRPr="0083266B">
        <w:rPr>
          <w:vanish/>
        </w:rPr>
        <w:t>PE784.310</w:t>
      </w:r>
      <w:bookmarkEnd w:id="4"/>
    </w:p>
    <w:p w14:paraId="580FD813" w14:textId="77777777" w:rsidR="008B3EA0" w:rsidRPr="0083266B" w:rsidRDefault="008B3EA0" w:rsidP="008B3EA0">
      <w:pPr>
        <w:pStyle w:val="ATHeading3"/>
      </w:pPr>
      <w:bookmarkStart w:id="5" w:name="Sujet"/>
      <w:r w:rsidRPr="0083266B">
        <w:t>Risoluzione legislativa del Parlamento europeo del 26 marzo 2026 sulla proposta di regolamento del Parlamento europeo e del Consiglio che modifica il regolamento (UE) 2021/1232 per quanto riguarda la proroga del suo periodo di applicazione</w:t>
      </w:r>
      <w:bookmarkEnd w:id="5"/>
      <w:r w:rsidRPr="0083266B">
        <w:t xml:space="preserve"> </w:t>
      </w:r>
      <w:bookmarkStart w:id="6" w:name="References"/>
      <w:r w:rsidRPr="0083266B">
        <w:t>(</w:t>
      </w:r>
      <w:proofErr w:type="gramStart"/>
      <w:r w:rsidRPr="0083266B">
        <w:t>COM(</w:t>
      </w:r>
      <w:proofErr w:type="gramEnd"/>
      <w:r w:rsidRPr="0083266B">
        <w:t>2025)0797 – C10-0370/2025 – 2025/0429(COD))</w:t>
      </w:r>
      <w:bookmarkEnd w:id="6"/>
    </w:p>
    <w:p w14:paraId="46C68371" w14:textId="77777777" w:rsidR="00EF6C07" w:rsidRPr="0083266B" w:rsidRDefault="00EF6C07" w:rsidP="00EF6C07">
      <w:pPr>
        <w:pStyle w:val="NormalBold"/>
      </w:pPr>
      <w:bookmarkStart w:id="7" w:name="TextBodyBegin"/>
      <w:bookmarkEnd w:id="7"/>
      <w:r w:rsidRPr="0083266B">
        <w:t>(Procedura legislativa ordinaria: prima lettura)</w:t>
      </w:r>
    </w:p>
    <w:p w14:paraId="48AD5540" w14:textId="77777777" w:rsidR="00EF6C07" w:rsidRPr="0083266B" w:rsidRDefault="00EF6C07" w:rsidP="00EF6C07">
      <w:pPr>
        <w:pStyle w:val="EPComma"/>
      </w:pPr>
      <w:r w:rsidRPr="0083266B">
        <w:rPr>
          <w:i/>
          <w:iCs/>
        </w:rPr>
        <w:t>Il Parlamento europeo,</w:t>
      </w:r>
    </w:p>
    <w:p w14:paraId="3CAC51DD" w14:textId="77777777" w:rsidR="00EF6C07" w:rsidRPr="0083266B" w:rsidRDefault="00EF6C07" w:rsidP="00EF6C07">
      <w:pPr>
        <w:pStyle w:val="NormalHanging12a"/>
      </w:pPr>
      <w:r w:rsidRPr="0083266B">
        <w:t>–</w:t>
      </w:r>
      <w:r w:rsidRPr="0083266B">
        <w:tab/>
        <w:t>vista la proposta della Commissione al Parlamento europeo e al Consiglio (</w:t>
      </w:r>
      <w:proofErr w:type="gramStart"/>
      <w:r w:rsidRPr="0083266B">
        <w:t>COM(</w:t>
      </w:r>
      <w:proofErr w:type="gramEnd"/>
      <w:r w:rsidRPr="0083266B">
        <w:t>2025)0797),</w:t>
      </w:r>
    </w:p>
    <w:p w14:paraId="39CD6E6A" w14:textId="77777777" w:rsidR="00EF6C07" w:rsidRPr="0083266B" w:rsidRDefault="00EF6C07" w:rsidP="00EF6C07">
      <w:pPr>
        <w:pStyle w:val="NormalHanging12a"/>
      </w:pPr>
      <w:r w:rsidRPr="0083266B">
        <w:t>–</w:t>
      </w:r>
      <w:r w:rsidRPr="0083266B">
        <w:tab/>
        <w:t>visti l'articolo 294, paragrafo 2, l'articolo 16, paragrafo 2, e l'articolo 114, paragrafo 1, del trattato sul funzionamento dell'Unione europea, a norma dei quali la proposta gli è stata presentata dalla Commissione (C10</w:t>
      </w:r>
      <w:r w:rsidRPr="0083266B">
        <w:noBreakHyphen/>
        <w:t>0370/2025),</w:t>
      </w:r>
    </w:p>
    <w:p w14:paraId="1911BE43" w14:textId="77777777" w:rsidR="00EF6C07" w:rsidRPr="0083266B" w:rsidRDefault="00EF6C07" w:rsidP="00EF6C07">
      <w:pPr>
        <w:pStyle w:val="NormalHanging12a"/>
      </w:pPr>
      <w:r w:rsidRPr="0083266B">
        <w:t>–</w:t>
      </w:r>
      <w:r w:rsidRPr="0083266B">
        <w:tab/>
        <w:t>visto l'articolo 294, paragrafo 3, del trattato sul funzionamento dell'Unione europea,</w:t>
      </w:r>
    </w:p>
    <w:p w14:paraId="7CA0F5A2" w14:textId="6293A9AD" w:rsidR="00925545" w:rsidRPr="0083266B" w:rsidRDefault="00925545" w:rsidP="00EF6C07">
      <w:pPr>
        <w:pStyle w:val="NormalHanging12a"/>
      </w:pPr>
      <w:r w:rsidRPr="0083266B">
        <w:t>–</w:t>
      </w:r>
      <w:r w:rsidRPr="0083266B">
        <w:tab/>
        <w:t>visto il parere del Comitato economico e sociale europeo del 21 gennaio 2026</w:t>
      </w:r>
      <w:r w:rsidRPr="0083266B">
        <w:rPr>
          <w:rStyle w:val="FootnoteReference"/>
        </w:rPr>
        <w:footnoteReference w:id="1"/>
      </w:r>
      <w:r w:rsidRPr="0083266B">
        <w:t>,</w:t>
      </w:r>
    </w:p>
    <w:p w14:paraId="58BCDD71" w14:textId="77777777" w:rsidR="00EF6C07" w:rsidRPr="0083266B" w:rsidRDefault="00EF6C07" w:rsidP="00EF6C07">
      <w:pPr>
        <w:pStyle w:val="NormalHanging12a"/>
      </w:pPr>
      <w:r w:rsidRPr="0083266B">
        <w:t>–</w:t>
      </w:r>
      <w:r w:rsidRPr="0083266B">
        <w:tab/>
        <w:t>visto l'articolo 60 del suo regolamento,</w:t>
      </w:r>
    </w:p>
    <w:p w14:paraId="60880E5E" w14:textId="77777777" w:rsidR="00EF6C07" w:rsidRPr="0083266B" w:rsidRDefault="00EF6C07" w:rsidP="00EF6C07">
      <w:pPr>
        <w:pStyle w:val="NormalHanging12a"/>
      </w:pPr>
      <w:r w:rsidRPr="0083266B">
        <w:t>–</w:t>
      </w:r>
      <w:r w:rsidRPr="0083266B">
        <w:tab/>
        <w:t>vista la relazione della commissione per le libertà civili, la giustizia e gli affari interni (A10-0040/2026),</w:t>
      </w:r>
    </w:p>
    <w:p w14:paraId="5E9C0F94" w14:textId="09250217" w:rsidR="00EF6C07" w:rsidRPr="0083266B" w:rsidRDefault="00EF6C07" w:rsidP="00EF6C07">
      <w:pPr>
        <w:pStyle w:val="NormalHanging12a"/>
      </w:pPr>
      <w:r w:rsidRPr="0083266B">
        <w:t>1.</w:t>
      </w:r>
      <w:r w:rsidRPr="0083266B">
        <w:tab/>
      </w:r>
      <w:r w:rsidR="002C4093" w:rsidRPr="0083266B">
        <w:t>respinge la proposta della Commissione</w:t>
      </w:r>
      <w:r w:rsidRPr="0083266B">
        <w:t>;</w:t>
      </w:r>
    </w:p>
    <w:p w14:paraId="240E7C08" w14:textId="42F29A34" w:rsidR="00EF6C07" w:rsidRPr="0083266B" w:rsidRDefault="00EF6C07" w:rsidP="00EF6C07">
      <w:pPr>
        <w:pStyle w:val="NormalHanging12a"/>
      </w:pPr>
      <w:r w:rsidRPr="0083266B">
        <w:t>2.</w:t>
      </w:r>
      <w:r w:rsidRPr="0083266B">
        <w:tab/>
      </w:r>
      <w:r w:rsidR="002C4093" w:rsidRPr="0083266B">
        <w:t>invita la Commissione a ritirare la proposta</w:t>
      </w:r>
      <w:r w:rsidRPr="0083266B">
        <w:t>;</w:t>
      </w:r>
    </w:p>
    <w:p w14:paraId="5AB8FB86" w14:textId="77777777" w:rsidR="00CA3BC2" w:rsidRPr="0083266B" w:rsidRDefault="00EF6C07" w:rsidP="00CA3BC2">
      <w:pPr>
        <w:pStyle w:val="NormalHanging12a"/>
      </w:pPr>
      <w:r w:rsidRPr="0083266B">
        <w:t>3.</w:t>
      </w:r>
      <w:r w:rsidRPr="0083266B">
        <w:tab/>
        <w:t>incarica la sua Presidente di trasmettere la posizione del Parlamento al Consiglio e alla Commissione nonché ai parlamenti nazionali.</w:t>
      </w:r>
    </w:p>
    <w:sectPr w:rsidR="00CA3BC2" w:rsidRPr="0083266B" w:rsidSect="00CA3B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3B0F0" w14:textId="77777777" w:rsidR="008B3EA0" w:rsidRPr="00CA3BC2" w:rsidRDefault="008B3EA0">
      <w:r w:rsidRPr="00CA3BC2">
        <w:separator/>
      </w:r>
    </w:p>
  </w:endnote>
  <w:endnote w:type="continuationSeparator" w:id="0">
    <w:p w14:paraId="1C20CB92" w14:textId="77777777" w:rsidR="008B3EA0" w:rsidRPr="00CA3BC2" w:rsidRDefault="008B3EA0">
      <w:r w:rsidRPr="00CA3BC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CE7D3" w14:textId="77777777" w:rsidR="00064002" w:rsidRPr="00CA3BC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13666" w14:textId="77777777" w:rsidR="00064002" w:rsidRPr="00CA3BC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51B26" w14:textId="77777777" w:rsidR="00064002" w:rsidRPr="00CA3BC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91633" w14:textId="77777777" w:rsidR="008B3EA0" w:rsidRPr="00CA3BC2" w:rsidRDefault="008B3EA0">
      <w:r w:rsidRPr="00CA3BC2">
        <w:separator/>
      </w:r>
    </w:p>
  </w:footnote>
  <w:footnote w:type="continuationSeparator" w:id="0">
    <w:p w14:paraId="049B4F0A" w14:textId="77777777" w:rsidR="008B3EA0" w:rsidRPr="00CA3BC2" w:rsidRDefault="008B3EA0">
      <w:r w:rsidRPr="00CA3BC2">
        <w:continuationSeparator/>
      </w:r>
    </w:p>
  </w:footnote>
  <w:footnote w:id="1">
    <w:p w14:paraId="55E12C83" w14:textId="52F3EE55" w:rsidR="00925545" w:rsidRPr="0083266B" w:rsidRDefault="00925545" w:rsidP="0083266B">
      <w:pPr>
        <w:pStyle w:val="FootnoteText"/>
        <w:ind w:left="851" w:hanging="851"/>
        <w:rPr>
          <w:sz w:val="24"/>
          <w:szCs w:val="24"/>
          <w:lang w:val="it-IT"/>
        </w:rPr>
      </w:pPr>
      <w:r>
        <w:rPr>
          <w:rStyle w:val="FootnoteReference"/>
        </w:rPr>
        <w:footnoteRef/>
      </w:r>
      <w:r w:rsidRPr="0083266B">
        <w:rPr>
          <w:lang w:val="it-IT"/>
        </w:rPr>
        <w:t xml:space="preserve"> </w:t>
      </w:r>
      <w:r>
        <w:rPr>
          <w:lang w:val="it-IT"/>
        </w:rPr>
        <w:tab/>
      </w:r>
      <w:r w:rsidRPr="0083266B">
        <w:rPr>
          <w:sz w:val="24"/>
          <w:szCs w:val="24"/>
          <w:lang w:val="it-IT"/>
        </w:rPr>
        <w:t xml:space="preserve">Non ancora pubblicato nella Gazzetta </w:t>
      </w:r>
      <w:r w:rsidR="00740798">
        <w:rPr>
          <w:sz w:val="24"/>
          <w:szCs w:val="24"/>
          <w:lang w:val="it-IT"/>
        </w:rPr>
        <w:t>u</w:t>
      </w:r>
      <w:r w:rsidRPr="0083266B">
        <w:rPr>
          <w:sz w:val="24"/>
          <w:szCs w:val="24"/>
          <w:lang w:val="it-IT"/>
        </w:rPr>
        <w:t>fficiale.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86145" w14:textId="77777777" w:rsidR="00064002" w:rsidRPr="00CA3BC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26C29" w14:textId="77777777" w:rsidR="00064002" w:rsidRPr="00CA3BC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62C7E" w14:textId="77777777" w:rsidR="00064002" w:rsidRPr="00CA3BC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27020718">
    <w:abstractNumId w:val="9"/>
  </w:num>
  <w:num w:numId="2" w16cid:durableId="1709144100">
    <w:abstractNumId w:val="9"/>
  </w:num>
  <w:num w:numId="3" w16cid:durableId="1437361094">
    <w:abstractNumId w:val="7"/>
  </w:num>
  <w:num w:numId="4" w16cid:durableId="468132029">
    <w:abstractNumId w:val="7"/>
  </w:num>
  <w:num w:numId="5" w16cid:durableId="1320039173">
    <w:abstractNumId w:val="6"/>
  </w:num>
  <w:num w:numId="6" w16cid:durableId="655260948">
    <w:abstractNumId w:val="6"/>
  </w:num>
  <w:num w:numId="7" w16cid:durableId="1940140830">
    <w:abstractNumId w:val="5"/>
  </w:num>
  <w:num w:numId="8" w16cid:durableId="804811209">
    <w:abstractNumId w:val="5"/>
  </w:num>
  <w:num w:numId="9" w16cid:durableId="1290084419">
    <w:abstractNumId w:val="4"/>
  </w:num>
  <w:num w:numId="10" w16cid:durableId="42297888">
    <w:abstractNumId w:val="4"/>
  </w:num>
  <w:num w:numId="11" w16cid:durableId="457992799">
    <w:abstractNumId w:val="8"/>
  </w:num>
  <w:num w:numId="12" w16cid:durableId="484054516">
    <w:abstractNumId w:val="8"/>
  </w:num>
  <w:num w:numId="13" w16cid:durableId="1814450072">
    <w:abstractNumId w:val="3"/>
  </w:num>
  <w:num w:numId="14" w16cid:durableId="1443300727">
    <w:abstractNumId w:val="3"/>
  </w:num>
  <w:num w:numId="15" w16cid:durableId="1197548284">
    <w:abstractNumId w:val="2"/>
  </w:num>
  <w:num w:numId="16" w16cid:durableId="1097874028">
    <w:abstractNumId w:val="2"/>
  </w:num>
  <w:num w:numId="17" w16cid:durableId="304552208">
    <w:abstractNumId w:val="1"/>
  </w:num>
  <w:num w:numId="18" w16cid:durableId="332874461">
    <w:abstractNumId w:val="1"/>
  </w:num>
  <w:num w:numId="19" w16cid:durableId="1963072252">
    <w:abstractNumId w:val="0"/>
  </w:num>
  <w:num w:numId="20" w16cid:durableId="879781150">
    <w:abstractNumId w:val="0"/>
  </w:num>
  <w:num w:numId="21" w16cid:durableId="2040936222">
    <w:abstractNumId w:val="9"/>
  </w:num>
  <w:num w:numId="22" w16cid:durableId="1111054365">
    <w:abstractNumId w:val="7"/>
  </w:num>
  <w:num w:numId="23" w16cid:durableId="1101611624">
    <w:abstractNumId w:val="6"/>
  </w:num>
  <w:num w:numId="24" w16cid:durableId="17046384">
    <w:abstractNumId w:val="5"/>
  </w:num>
  <w:num w:numId="25" w16cid:durableId="1246916376">
    <w:abstractNumId w:val="4"/>
  </w:num>
  <w:num w:numId="26" w16cid:durableId="1307933328">
    <w:abstractNumId w:val="8"/>
  </w:num>
  <w:num w:numId="27" w16cid:durableId="405765343">
    <w:abstractNumId w:val="3"/>
  </w:num>
  <w:num w:numId="28" w16cid:durableId="743991200">
    <w:abstractNumId w:val="2"/>
  </w:num>
  <w:num w:numId="29" w16cid:durableId="568928159">
    <w:abstractNumId w:val="1"/>
  </w:num>
  <w:num w:numId="30" w16cid:durableId="1798067552">
    <w:abstractNumId w:val="0"/>
  </w:num>
  <w:num w:numId="31" w16cid:durableId="447092798">
    <w:abstractNumId w:val="9"/>
  </w:num>
  <w:num w:numId="32" w16cid:durableId="258416967">
    <w:abstractNumId w:val="7"/>
  </w:num>
  <w:num w:numId="33" w16cid:durableId="703021200">
    <w:abstractNumId w:val="6"/>
  </w:num>
  <w:num w:numId="34" w16cid:durableId="391386565">
    <w:abstractNumId w:val="5"/>
  </w:num>
  <w:num w:numId="35" w16cid:durableId="1321807272">
    <w:abstractNumId w:val="4"/>
  </w:num>
  <w:num w:numId="36" w16cid:durableId="1248033507">
    <w:abstractNumId w:val="8"/>
  </w:num>
  <w:num w:numId="37" w16cid:durableId="1880312175">
    <w:abstractNumId w:val="3"/>
  </w:num>
  <w:num w:numId="38" w16cid:durableId="14503670">
    <w:abstractNumId w:val="2"/>
  </w:num>
  <w:num w:numId="39" w16cid:durableId="924997306">
    <w:abstractNumId w:val="1"/>
  </w:num>
  <w:num w:numId="40" w16cid:durableId="1701474778">
    <w:abstractNumId w:val="0"/>
  </w:num>
  <w:num w:numId="41" w16cid:durableId="929460467">
    <w:abstractNumId w:val="10"/>
  </w:num>
  <w:num w:numId="42" w16cid:durableId="1966302233">
    <w:abstractNumId w:val="10"/>
  </w:num>
  <w:num w:numId="43" w16cid:durableId="1492208820">
    <w:abstractNumId w:val="10"/>
  </w:num>
  <w:num w:numId="44" w16cid:durableId="1043495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40/2026"/>
    <w:docVar w:name="dvlangue" w:val="IT"/>
    <w:docVar w:name="dvnumam" w:val="0"/>
    <w:docVar w:name="dvpe" w:val="784.310"/>
    <w:docVar w:name="dvrapporteur" w:val="Relatrice: "/>
    <w:docVar w:name="dvstar" w:val="***I"/>
    <w:docVar w:name="dvtitre" w:val="Risoluzione legislativa del Parlamento europeo del 26 marzo 2026 sulla proposta di regolamento del Parlamento europeo e del Consiglio che modifica il regolamento (UE) 2021/1232 per quanto riguarda la proroga del suo periodo di applicazione(COM(2025)0797 – C10-0370/2025 – 2025/0429(COD))"/>
  </w:docVars>
  <w:rsids>
    <w:rsidRoot w:val="008B3EA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1318"/>
    <w:rsid w:val="001F32AE"/>
    <w:rsid w:val="002767FF"/>
    <w:rsid w:val="002B18FE"/>
    <w:rsid w:val="002B5493"/>
    <w:rsid w:val="002C40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0798"/>
    <w:rsid w:val="00747932"/>
    <w:rsid w:val="00751A4A"/>
    <w:rsid w:val="00756632"/>
    <w:rsid w:val="00762C74"/>
    <w:rsid w:val="00786EC0"/>
    <w:rsid w:val="007D1690"/>
    <w:rsid w:val="007E22AD"/>
    <w:rsid w:val="00817416"/>
    <w:rsid w:val="0083266B"/>
    <w:rsid w:val="00842779"/>
    <w:rsid w:val="00865F67"/>
    <w:rsid w:val="00881A7B"/>
    <w:rsid w:val="008840E5"/>
    <w:rsid w:val="00887B3E"/>
    <w:rsid w:val="008B3EA0"/>
    <w:rsid w:val="008C2AC6"/>
    <w:rsid w:val="0092554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6C5A"/>
    <w:rsid w:val="00BD48FE"/>
    <w:rsid w:val="00BD7BD8"/>
    <w:rsid w:val="00BE6ADC"/>
    <w:rsid w:val="00C05BFE"/>
    <w:rsid w:val="00C23CD4"/>
    <w:rsid w:val="00C50C05"/>
    <w:rsid w:val="00C61C0C"/>
    <w:rsid w:val="00C941CB"/>
    <w:rsid w:val="00CA3BC2"/>
    <w:rsid w:val="00CC2357"/>
    <w:rsid w:val="00CF071A"/>
    <w:rsid w:val="00D058B8"/>
    <w:rsid w:val="00D45913"/>
    <w:rsid w:val="00D56C11"/>
    <w:rsid w:val="00D77C16"/>
    <w:rsid w:val="00D834A0"/>
    <w:rsid w:val="00D872DF"/>
    <w:rsid w:val="00D91E21"/>
    <w:rsid w:val="00DA7FCD"/>
    <w:rsid w:val="00E365E1"/>
    <w:rsid w:val="00E66F6F"/>
    <w:rsid w:val="00E820A4"/>
    <w:rsid w:val="00EB006A"/>
    <w:rsid w:val="00EB4772"/>
    <w:rsid w:val="00ED169E"/>
    <w:rsid w:val="00ED4235"/>
    <w:rsid w:val="00EF6C07"/>
    <w:rsid w:val="00F04346"/>
    <w:rsid w:val="00F075DC"/>
    <w:rsid w:val="00F149E9"/>
    <w:rsid w:val="00F34043"/>
    <w:rsid w:val="00F5134D"/>
    <w:rsid w:val="00F74202"/>
    <w:rsid w:val="00F87713"/>
    <w:rsid w:val="00FB4360"/>
    <w:rsid w:val="00FC7EB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90E8C5"/>
  <w15:chartTrackingRefBased/>
  <w15:docId w15:val="{B6475E9D-27EA-4FA8-98DB-E1AF13B05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F6C07"/>
    <w:pPr>
      <w:spacing w:before="480" w:after="240"/>
    </w:pPr>
  </w:style>
  <w:style w:type="paragraph" w:customStyle="1" w:styleId="NormalBold">
    <w:name w:val="NormalBold"/>
    <w:basedOn w:val="Normal"/>
    <w:rsid w:val="00EF6C07"/>
    <w:rPr>
      <w:b/>
    </w:rPr>
  </w:style>
  <w:style w:type="paragraph" w:customStyle="1" w:styleId="NormalHanging12a">
    <w:name w:val="NormalHanging12a"/>
    <w:basedOn w:val="Normal"/>
    <w:rsid w:val="00EF6C0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B66C5A"/>
    <w:rPr>
      <w:sz w:val="24"/>
      <w:lang w:val="it-IT"/>
    </w:rPr>
  </w:style>
  <w:style w:type="character" w:styleId="Hyperlink">
    <w:name w:val="Hyperlink"/>
    <w:basedOn w:val="DefaultParagraphFont"/>
    <w:uiPriority w:val="99"/>
    <w:unhideWhenUsed/>
    <w:rsid w:val="00B66C5A"/>
    <w:rPr>
      <w:color w:val="0000FF"/>
      <w:u w:val="single"/>
    </w:rPr>
  </w:style>
  <w:style w:type="character" w:styleId="FollowedHyperlink">
    <w:name w:val="FollowedHyperlink"/>
    <w:basedOn w:val="DefaultParagraphFont"/>
    <w:rsid w:val="00B66C5A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B66C5A"/>
    <w:rPr>
      <w:sz w:val="16"/>
      <w:szCs w:val="16"/>
    </w:rPr>
  </w:style>
  <w:style w:type="paragraph" w:styleId="CommentText">
    <w:name w:val="annotation text"/>
    <w:basedOn w:val="Normal"/>
    <w:link w:val="CommentTextChar"/>
    <w:rsid w:val="00B66C5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66C5A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B66C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66C5A"/>
    <w:rPr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CL</dc:creator>
  <cp:keywords/>
  <cp:lastModifiedBy>NORRTHON Kelly</cp:lastModifiedBy>
  <cp:revision>2</cp:revision>
  <cp:lastPrinted>2004-11-19T15:42:00Z</cp:lastPrinted>
  <dcterms:created xsi:type="dcterms:W3CDTF">2026-03-26T14:11:00Z</dcterms:created>
  <dcterms:modified xsi:type="dcterms:W3CDTF">2026-03-26T14:11:00Z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A10-0040/2026</vt:lpwstr>
  </property>
  <property fmtid="{D5CDD505-2E9C-101B-9397-08002B2CF9AE}" pid="4" name="&lt;Type&gt;">
    <vt:lpwstr>RR</vt:lpwstr>
  </property>
</Properties>
</file>