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2F13" w14:paraId="64AF045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75BF6B" w14:textId="77777777" w:rsidR="00751A4A" w:rsidRPr="00582F13" w:rsidRDefault="00B2041F" w:rsidP="0010095E">
            <w:pPr>
              <w:pStyle w:val="EPName"/>
            </w:pPr>
            <w:r w:rsidRPr="00582F13">
              <w:t xml:space="preserve">Parlamento </w:t>
            </w:r>
            <w:proofErr w:type="gramStart"/>
            <w:r w:rsidRPr="00582F13">
              <w:t>Europeu</w:t>
            </w:r>
            <w:proofErr w:type="gramEnd"/>
          </w:p>
          <w:p w14:paraId="303D3F9A" w14:textId="77777777" w:rsidR="00751A4A" w:rsidRPr="00582F1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2F13">
              <w:t>2024</w:t>
            </w:r>
            <w:r w:rsidR="00817416" w:rsidRPr="00582F13">
              <w:t>-202</w:t>
            </w:r>
            <w:r w:rsidRPr="00582F13">
              <w:t>9</w:t>
            </w:r>
          </w:p>
        </w:tc>
        <w:tc>
          <w:tcPr>
            <w:tcW w:w="2268" w:type="dxa"/>
            <w:shd w:val="clear" w:color="auto" w:fill="auto"/>
          </w:tcPr>
          <w:p w14:paraId="38BDCEB0" w14:textId="77777777" w:rsidR="00751A4A" w:rsidRPr="00582F13" w:rsidRDefault="00187494" w:rsidP="0010095E">
            <w:pPr>
              <w:pStyle w:val="EPLogo"/>
            </w:pPr>
            <w:r w:rsidRPr="00582F13">
              <w:rPr>
                <w:noProof/>
                <w:lang w:eastAsia="ja-JP"/>
              </w:rPr>
              <w:drawing>
                <wp:inline distT="0" distB="0" distL="0" distR="0" wp14:anchorId="0C37EA83" wp14:editId="582C53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454AC1" w14:textId="77777777" w:rsidR="00D058B8" w:rsidRPr="00582F13" w:rsidRDefault="00D058B8" w:rsidP="004C5D52">
      <w:pPr>
        <w:pStyle w:val="LineTop"/>
      </w:pPr>
    </w:p>
    <w:p w14:paraId="625191D9" w14:textId="77777777" w:rsidR="00680577" w:rsidRPr="00582F13" w:rsidRDefault="00B2041F" w:rsidP="00680577">
      <w:pPr>
        <w:pStyle w:val="EPBodyTA1"/>
      </w:pPr>
      <w:r w:rsidRPr="00582F13">
        <w:t>TEXTOS APROVADOS</w:t>
      </w:r>
    </w:p>
    <w:p w14:paraId="6E551376" w14:textId="77777777" w:rsidR="00D058B8" w:rsidRPr="00582F13" w:rsidRDefault="00D058B8" w:rsidP="00D058B8">
      <w:pPr>
        <w:pStyle w:val="LineBottom"/>
      </w:pPr>
    </w:p>
    <w:p w14:paraId="50D889B5" w14:textId="3197EFE3" w:rsidR="00B2041F" w:rsidRPr="00582F13" w:rsidRDefault="00B2041F" w:rsidP="00B2041F">
      <w:pPr>
        <w:pStyle w:val="ATHeading1"/>
      </w:pPr>
      <w:bookmarkStart w:id="0" w:name="TANumber"/>
      <w:r w:rsidRPr="00582F13">
        <w:t>P10_TA(2026)00</w:t>
      </w:r>
      <w:r w:rsidR="005D3CCA" w:rsidRPr="00582F13">
        <w:t>95</w:t>
      </w:r>
      <w:bookmarkEnd w:id="0"/>
    </w:p>
    <w:p w14:paraId="1E27B7B4" w14:textId="434AC8FB" w:rsidR="00B2041F" w:rsidRPr="00582F13" w:rsidRDefault="00BE4A43" w:rsidP="00B2041F">
      <w:pPr>
        <w:pStyle w:val="ATHeading2"/>
      </w:pPr>
      <w:bookmarkStart w:id="1" w:name="title"/>
      <w:bookmarkStart w:id="2" w:name="_Hlk225423621"/>
      <w:r w:rsidRPr="00582F13">
        <w:t>Alteração d</w:t>
      </w:r>
      <w:r w:rsidR="00B2041F" w:rsidRPr="00582F13">
        <w:t>o Regulamento (UE) 2021/1232 no respeitante à prorrogação do seu período de aplicação</w:t>
      </w:r>
      <w:bookmarkEnd w:id="1"/>
    </w:p>
    <w:bookmarkEnd w:id="2"/>
    <w:p w14:paraId="74BF2AC9" w14:textId="77777777" w:rsidR="00B2041F" w:rsidRPr="00582F13" w:rsidRDefault="00B2041F" w:rsidP="00B2041F">
      <w:pPr>
        <w:rPr>
          <w:i/>
          <w:vanish/>
        </w:rPr>
      </w:pPr>
      <w:r w:rsidRPr="00582F13">
        <w:rPr>
          <w:i/>
        </w:rPr>
        <w:fldChar w:fldCharType="begin"/>
      </w:r>
      <w:r w:rsidRPr="00582F13">
        <w:rPr>
          <w:i/>
        </w:rPr>
        <w:instrText xml:space="preserve"> TC"(</w:instrText>
      </w:r>
      <w:bookmarkStart w:id="3" w:name="DocNumber"/>
      <w:r w:rsidRPr="00582F13">
        <w:rPr>
          <w:i/>
        </w:rPr>
        <w:instrText>A10-0040/2026</w:instrText>
      </w:r>
      <w:bookmarkEnd w:id="3"/>
      <w:r w:rsidRPr="00582F13">
        <w:rPr>
          <w:i/>
        </w:rPr>
        <w:instrText xml:space="preserve"> - Relatora: Birgit </w:instrText>
      </w:r>
      <w:proofErr w:type="spellStart"/>
      <w:r w:rsidRPr="00582F13">
        <w:rPr>
          <w:i/>
        </w:rPr>
        <w:instrText>Sippel</w:instrText>
      </w:r>
      <w:proofErr w:type="spellEnd"/>
      <w:r w:rsidRPr="00582F13">
        <w:rPr>
          <w:i/>
        </w:rPr>
        <w:instrText xml:space="preserve">)"\l3 \n&gt; \* MERGEFORMAT </w:instrText>
      </w:r>
      <w:r w:rsidRPr="00582F13">
        <w:rPr>
          <w:i/>
        </w:rPr>
        <w:fldChar w:fldCharType="end"/>
      </w:r>
    </w:p>
    <w:p w14:paraId="64D95C46" w14:textId="77777777" w:rsidR="00B2041F" w:rsidRPr="00582F13" w:rsidRDefault="00B2041F" w:rsidP="00B2041F">
      <w:pPr>
        <w:rPr>
          <w:vanish/>
        </w:rPr>
      </w:pPr>
      <w:bookmarkStart w:id="4" w:name="Commission"/>
      <w:r w:rsidRPr="00582F13">
        <w:rPr>
          <w:vanish/>
        </w:rPr>
        <w:t>Comissão das Liberdades Cívicas, da Justiça e dos Assuntos Internos</w:t>
      </w:r>
      <w:bookmarkEnd w:id="4"/>
    </w:p>
    <w:p w14:paraId="01B5E1FE" w14:textId="77777777" w:rsidR="00B2041F" w:rsidRPr="00582F13" w:rsidRDefault="00B2041F" w:rsidP="00B2041F">
      <w:pPr>
        <w:rPr>
          <w:vanish/>
        </w:rPr>
      </w:pPr>
      <w:bookmarkStart w:id="5" w:name="PE"/>
      <w:r w:rsidRPr="00582F13">
        <w:rPr>
          <w:vanish/>
        </w:rPr>
        <w:t>PE784.310</w:t>
      </w:r>
      <w:bookmarkEnd w:id="5"/>
    </w:p>
    <w:p w14:paraId="04F5663A" w14:textId="724CC78C" w:rsidR="00B2041F" w:rsidRPr="00582F13" w:rsidRDefault="00B2041F" w:rsidP="00B2041F">
      <w:pPr>
        <w:pStyle w:val="ATHeading3"/>
      </w:pPr>
      <w:bookmarkStart w:id="6" w:name="Sujet"/>
      <w:r w:rsidRPr="00582F13">
        <w:t xml:space="preserve">Resolução legislativa do Parlamento Europeu, de </w:t>
      </w:r>
      <w:r w:rsidR="00BE4A43" w:rsidRPr="00582F13">
        <w:t>26</w:t>
      </w:r>
      <w:r w:rsidRPr="00582F13">
        <w:t xml:space="preserve"> de </w:t>
      </w:r>
      <w:r w:rsidR="00BE4A43" w:rsidRPr="00582F13">
        <w:t>março</w:t>
      </w:r>
      <w:r w:rsidRPr="00582F13">
        <w:t xml:space="preserve"> de 2026, sobre a proposta de regulamento do Parlamento Europeu e do Conselho que altera o Regulamento (UE) 2021/1232 no respeitante à prorrogação do seu período de aplicação</w:t>
      </w:r>
      <w:bookmarkEnd w:id="6"/>
      <w:r w:rsidRPr="00582F13">
        <w:t xml:space="preserve"> </w:t>
      </w:r>
      <w:bookmarkStart w:id="7" w:name="References"/>
      <w:r w:rsidRPr="00582F13">
        <w:t>(COM(2025)0797 – C10-0370/2025 – 2025/0429(COD))</w:t>
      </w:r>
      <w:bookmarkEnd w:id="7"/>
    </w:p>
    <w:p w14:paraId="555F7E16" w14:textId="77777777" w:rsidR="00B2041F" w:rsidRPr="00582F13" w:rsidRDefault="00B2041F" w:rsidP="00B2041F"/>
    <w:p w14:paraId="039C66F6" w14:textId="77777777" w:rsidR="00BA6501" w:rsidRPr="00582F13" w:rsidRDefault="00BA6501" w:rsidP="00BA6501">
      <w:pPr>
        <w:pStyle w:val="NormalBold"/>
      </w:pPr>
      <w:bookmarkStart w:id="8" w:name="TextBodyBegin"/>
      <w:bookmarkEnd w:id="8"/>
      <w:r w:rsidRPr="00582F13">
        <w:t>(Processo legislativo ordinário: primeira leitura)</w:t>
      </w:r>
    </w:p>
    <w:p w14:paraId="2226A357" w14:textId="77777777" w:rsidR="00BA6501" w:rsidRPr="00582F13" w:rsidRDefault="00BA6501" w:rsidP="00BA6501">
      <w:pPr>
        <w:pStyle w:val="EPComma"/>
      </w:pPr>
      <w:r w:rsidRPr="00582F13">
        <w:rPr>
          <w:i/>
          <w:iCs/>
        </w:rPr>
        <w:t>O Parlamento Europeu,</w:t>
      </w:r>
    </w:p>
    <w:p w14:paraId="3F550E62" w14:textId="77777777" w:rsidR="00BA6501" w:rsidRPr="00582F13" w:rsidRDefault="00BA6501" w:rsidP="00BA6501">
      <w:pPr>
        <w:pStyle w:val="NormalHanging12a"/>
      </w:pPr>
      <w:r w:rsidRPr="00582F13">
        <w:t>–</w:t>
      </w:r>
      <w:r w:rsidRPr="00582F13">
        <w:tab/>
        <w:t>Tendo em conta a proposta da Comissão ao Parlamento Europeu e ao Conselho (COM(2025)0797),</w:t>
      </w:r>
    </w:p>
    <w:p w14:paraId="3D158DE8" w14:textId="77777777" w:rsidR="00BA6501" w:rsidRPr="00582F13" w:rsidRDefault="00BA6501" w:rsidP="00BA6501">
      <w:pPr>
        <w:pStyle w:val="NormalHanging12a"/>
      </w:pPr>
      <w:r w:rsidRPr="00582F13">
        <w:t>–</w:t>
      </w:r>
      <w:r w:rsidRPr="00582F13">
        <w:tab/>
        <w:t>Tendo em conta o artigo 294.º, n.º 2, o artigo 16.º, n.º 2, e o artigo 114.º, n.º 1, do Tratado sobre o Funcionamento da União Europeia, nos termos dos quais a proposta lhe foi apresentada pela Comissão (C10</w:t>
      </w:r>
      <w:r w:rsidRPr="00582F13">
        <w:noBreakHyphen/>
        <w:t>0370/2025),</w:t>
      </w:r>
    </w:p>
    <w:p w14:paraId="7EF1E1FB" w14:textId="77777777" w:rsidR="00BA6501" w:rsidRPr="00582F13" w:rsidRDefault="00BA6501" w:rsidP="00BA6501">
      <w:pPr>
        <w:pStyle w:val="NormalHanging12a"/>
      </w:pPr>
      <w:r w:rsidRPr="00582F13">
        <w:t>–</w:t>
      </w:r>
      <w:r w:rsidRPr="00582F13">
        <w:tab/>
        <w:t>Tendo em conta o artigo 294.º, n.º 3, do Tratado sobre o Funcionamento da União Europeia,</w:t>
      </w:r>
    </w:p>
    <w:p w14:paraId="4CDA095D" w14:textId="3202595D" w:rsidR="003C7490" w:rsidRPr="00582F13" w:rsidRDefault="003C7490" w:rsidP="00BA6501">
      <w:pPr>
        <w:pStyle w:val="NormalHanging12a"/>
      </w:pPr>
      <w:r w:rsidRPr="00582F13">
        <w:t>–</w:t>
      </w:r>
      <w:r w:rsidRPr="00582F13">
        <w:tab/>
        <w:t>Tendo em conta o parecer do Comité Económico e Social Europeu de 21 de janeiro de 2026</w:t>
      </w:r>
      <w:r w:rsidRPr="00582F13">
        <w:rPr>
          <w:rStyle w:val="FootnoteReference"/>
        </w:rPr>
        <w:footnoteReference w:id="1"/>
      </w:r>
      <w:r w:rsidRPr="00582F13">
        <w:t>,</w:t>
      </w:r>
    </w:p>
    <w:p w14:paraId="20775F2F" w14:textId="77777777" w:rsidR="00BA6501" w:rsidRPr="00582F13" w:rsidRDefault="00BA6501" w:rsidP="00BA6501">
      <w:pPr>
        <w:pStyle w:val="NormalHanging12a"/>
      </w:pPr>
      <w:r w:rsidRPr="00582F13">
        <w:t>–</w:t>
      </w:r>
      <w:r w:rsidRPr="00582F13">
        <w:tab/>
        <w:t>Tendo em conta o artigo 60.º do seu Regimento,</w:t>
      </w:r>
    </w:p>
    <w:p w14:paraId="1E8B5170" w14:textId="77777777" w:rsidR="00BA6501" w:rsidRPr="00582F13" w:rsidRDefault="00BA6501" w:rsidP="00BA6501">
      <w:pPr>
        <w:pStyle w:val="NormalHanging12a"/>
      </w:pPr>
      <w:r w:rsidRPr="00582F13">
        <w:t>–</w:t>
      </w:r>
      <w:r w:rsidRPr="00582F13">
        <w:tab/>
        <w:t>Tendo em conta o relatório da Comissão das Liberdades Cívicas, da Justiça e dos Assuntos Internos (A10</w:t>
      </w:r>
      <w:r w:rsidRPr="00582F13">
        <w:noBreakHyphen/>
        <w:t>0040/2026),</w:t>
      </w:r>
    </w:p>
    <w:p w14:paraId="61BFF47A" w14:textId="1FEA03D6" w:rsidR="00BA6501" w:rsidRPr="00582F13" w:rsidRDefault="00BA6501" w:rsidP="00BA6501">
      <w:pPr>
        <w:pStyle w:val="NormalHanging12a"/>
      </w:pPr>
      <w:r w:rsidRPr="00582F13">
        <w:t>1.</w:t>
      </w:r>
      <w:r w:rsidRPr="00582F13">
        <w:tab/>
      </w:r>
      <w:r w:rsidR="005D3CCA" w:rsidRPr="00582F13">
        <w:t>Rejeita a proposta da Comissão</w:t>
      </w:r>
      <w:r w:rsidRPr="00582F13">
        <w:t>;</w:t>
      </w:r>
    </w:p>
    <w:p w14:paraId="1C12CE67" w14:textId="32056570" w:rsidR="00BA6501" w:rsidRPr="00582F13" w:rsidRDefault="00BA6501" w:rsidP="00BA6501">
      <w:pPr>
        <w:pStyle w:val="NormalHanging12a"/>
      </w:pPr>
      <w:r w:rsidRPr="00582F13">
        <w:t>2.</w:t>
      </w:r>
      <w:r w:rsidRPr="00582F13">
        <w:tab/>
      </w:r>
      <w:r w:rsidR="005D3CCA" w:rsidRPr="00582F13">
        <w:t>Convida a Comissão a retirar a sua proposta</w:t>
      </w:r>
      <w:r w:rsidRPr="00582F13">
        <w:t>;</w:t>
      </w:r>
    </w:p>
    <w:p w14:paraId="5E268BF5" w14:textId="1A225483" w:rsidR="00E365E1" w:rsidRPr="00582F13" w:rsidRDefault="00BA6501" w:rsidP="00C67B3F">
      <w:pPr>
        <w:pStyle w:val="NormalHanging12a"/>
      </w:pPr>
      <w:r w:rsidRPr="00582F13">
        <w:t>3.</w:t>
      </w:r>
      <w:r w:rsidRPr="00582F13">
        <w:tab/>
        <w:t>Encarrega a sua Presidente de transmitir a posição do Parlamento ao Conselho, à Comissão e aos parlamentos nacionais.</w:t>
      </w:r>
    </w:p>
    <w:p w14:paraId="305D8756" w14:textId="77777777" w:rsidR="0078198B" w:rsidRPr="00582F13" w:rsidRDefault="0078198B" w:rsidP="00582F13">
      <w:pPr>
        <w:pStyle w:val="NormalHanging12a"/>
        <w:ind w:left="0" w:firstLine="0"/>
        <w:rPr>
          <w:rFonts w:eastAsia="Aptos"/>
          <w:kern w:val="2"/>
          <w:szCs w:val="24"/>
          <w:lang w:val="en-GB" w:eastAsia="en-US"/>
          <w14:ligatures w14:val="standardContextual"/>
        </w:rPr>
      </w:pPr>
    </w:p>
    <w:sectPr w:rsidR="0078198B" w:rsidRPr="00582F13" w:rsidSect="00CF70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FD1CC" w14:textId="77777777" w:rsidR="00B2041F" w:rsidRPr="00CF70F4" w:rsidRDefault="00B2041F">
      <w:r w:rsidRPr="00CF70F4">
        <w:separator/>
      </w:r>
    </w:p>
  </w:endnote>
  <w:endnote w:type="continuationSeparator" w:id="0">
    <w:p w14:paraId="3E9B9391" w14:textId="77777777" w:rsidR="00B2041F" w:rsidRPr="00CF70F4" w:rsidRDefault="00B2041F">
      <w:r w:rsidRPr="00CF70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E577B" w14:textId="77777777" w:rsidR="00064002" w:rsidRPr="00CF70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AAB0F" w14:textId="77777777" w:rsidR="00064002" w:rsidRPr="00CF70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75798" w14:textId="77777777" w:rsidR="00064002" w:rsidRPr="00CF70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46F40" w14:textId="77777777" w:rsidR="00B2041F" w:rsidRPr="00CF70F4" w:rsidRDefault="00B2041F">
      <w:r w:rsidRPr="00CF70F4">
        <w:separator/>
      </w:r>
    </w:p>
  </w:footnote>
  <w:footnote w:type="continuationSeparator" w:id="0">
    <w:p w14:paraId="4548879A" w14:textId="77777777" w:rsidR="00B2041F" w:rsidRPr="00CF70F4" w:rsidRDefault="00B2041F">
      <w:r w:rsidRPr="00CF70F4">
        <w:continuationSeparator/>
      </w:r>
    </w:p>
  </w:footnote>
  <w:footnote w:id="1">
    <w:p w14:paraId="464D469F" w14:textId="3D85D732" w:rsidR="003C7490" w:rsidRPr="00582F13" w:rsidRDefault="003C7490" w:rsidP="00647593"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 w:rsidRPr="00582F13">
        <w:rPr>
          <w:lang w:val="pt-PT"/>
        </w:rPr>
        <w:t xml:space="preserve"> </w:t>
      </w:r>
      <w:r>
        <w:rPr>
          <w:lang w:val="pt-PT"/>
        </w:rPr>
        <w:tab/>
      </w:r>
      <w:r w:rsidRPr="003C7490">
        <w:rPr>
          <w:lang w:val="pt-PT"/>
        </w:rPr>
        <w:t>Ainda não publicado no Jornal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2F94F" w14:textId="77777777" w:rsidR="00064002" w:rsidRPr="00CF70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3BAE4" w14:textId="77777777" w:rsidR="00064002" w:rsidRPr="00CF70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127B9" w14:textId="77777777" w:rsidR="00064002" w:rsidRPr="00CF70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4311464">
    <w:abstractNumId w:val="9"/>
  </w:num>
  <w:num w:numId="2" w16cid:durableId="1252816333">
    <w:abstractNumId w:val="9"/>
  </w:num>
  <w:num w:numId="3" w16cid:durableId="199246895">
    <w:abstractNumId w:val="7"/>
  </w:num>
  <w:num w:numId="4" w16cid:durableId="1510287659">
    <w:abstractNumId w:val="7"/>
  </w:num>
  <w:num w:numId="5" w16cid:durableId="737901922">
    <w:abstractNumId w:val="6"/>
  </w:num>
  <w:num w:numId="6" w16cid:durableId="731848121">
    <w:abstractNumId w:val="6"/>
  </w:num>
  <w:num w:numId="7" w16cid:durableId="1835291549">
    <w:abstractNumId w:val="5"/>
  </w:num>
  <w:num w:numId="8" w16cid:durableId="629938000">
    <w:abstractNumId w:val="5"/>
  </w:num>
  <w:num w:numId="9" w16cid:durableId="531378713">
    <w:abstractNumId w:val="4"/>
  </w:num>
  <w:num w:numId="10" w16cid:durableId="708143490">
    <w:abstractNumId w:val="4"/>
  </w:num>
  <w:num w:numId="11" w16cid:durableId="998464607">
    <w:abstractNumId w:val="8"/>
  </w:num>
  <w:num w:numId="12" w16cid:durableId="1674063283">
    <w:abstractNumId w:val="8"/>
  </w:num>
  <w:num w:numId="13" w16cid:durableId="10189728">
    <w:abstractNumId w:val="3"/>
  </w:num>
  <w:num w:numId="14" w16cid:durableId="1961110392">
    <w:abstractNumId w:val="3"/>
  </w:num>
  <w:num w:numId="15" w16cid:durableId="310016909">
    <w:abstractNumId w:val="2"/>
  </w:num>
  <w:num w:numId="16" w16cid:durableId="1984500788">
    <w:abstractNumId w:val="2"/>
  </w:num>
  <w:num w:numId="17" w16cid:durableId="1390693296">
    <w:abstractNumId w:val="1"/>
  </w:num>
  <w:num w:numId="18" w16cid:durableId="2014411883">
    <w:abstractNumId w:val="1"/>
  </w:num>
  <w:num w:numId="19" w16cid:durableId="1229419236">
    <w:abstractNumId w:val="0"/>
  </w:num>
  <w:num w:numId="20" w16cid:durableId="255140934">
    <w:abstractNumId w:val="0"/>
  </w:num>
  <w:num w:numId="21" w16cid:durableId="2096901715">
    <w:abstractNumId w:val="9"/>
  </w:num>
  <w:num w:numId="22" w16cid:durableId="1334141770">
    <w:abstractNumId w:val="7"/>
  </w:num>
  <w:num w:numId="23" w16cid:durableId="718633453">
    <w:abstractNumId w:val="6"/>
  </w:num>
  <w:num w:numId="24" w16cid:durableId="248733019">
    <w:abstractNumId w:val="5"/>
  </w:num>
  <w:num w:numId="25" w16cid:durableId="317342690">
    <w:abstractNumId w:val="4"/>
  </w:num>
  <w:num w:numId="26" w16cid:durableId="2035643138">
    <w:abstractNumId w:val="8"/>
  </w:num>
  <w:num w:numId="27" w16cid:durableId="1939757016">
    <w:abstractNumId w:val="3"/>
  </w:num>
  <w:num w:numId="28" w16cid:durableId="462846434">
    <w:abstractNumId w:val="2"/>
  </w:num>
  <w:num w:numId="29" w16cid:durableId="2028864096">
    <w:abstractNumId w:val="1"/>
  </w:num>
  <w:num w:numId="30" w16cid:durableId="2137942672">
    <w:abstractNumId w:val="0"/>
  </w:num>
  <w:num w:numId="31" w16cid:durableId="628248815">
    <w:abstractNumId w:val="9"/>
  </w:num>
  <w:num w:numId="32" w16cid:durableId="639844412">
    <w:abstractNumId w:val="7"/>
  </w:num>
  <w:num w:numId="33" w16cid:durableId="1884170488">
    <w:abstractNumId w:val="6"/>
  </w:num>
  <w:num w:numId="34" w16cid:durableId="1632709693">
    <w:abstractNumId w:val="5"/>
  </w:num>
  <w:num w:numId="35" w16cid:durableId="886916874">
    <w:abstractNumId w:val="4"/>
  </w:num>
  <w:num w:numId="36" w16cid:durableId="1340305782">
    <w:abstractNumId w:val="8"/>
  </w:num>
  <w:num w:numId="37" w16cid:durableId="310986890">
    <w:abstractNumId w:val="3"/>
  </w:num>
  <w:num w:numId="38" w16cid:durableId="968586283">
    <w:abstractNumId w:val="2"/>
  </w:num>
  <w:num w:numId="39" w16cid:durableId="1142498744">
    <w:abstractNumId w:val="1"/>
  </w:num>
  <w:num w:numId="40" w16cid:durableId="1712925299">
    <w:abstractNumId w:val="0"/>
  </w:num>
  <w:num w:numId="41" w16cid:durableId="2022119806">
    <w:abstractNumId w:val="10"/>
  </w:num>
  <w:num w:numId="42" w16cid:durableId="690843380">
    <w:abstractNumId w:val="10"/>
  </w:num>
  <w:num w:numId="43" w16cid:durableId="2044673446">
    <w:abstractNumId w:val="10"/>
  </w:num>
  <w:num w:numId="44" w16cid:durableId="6710310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PT"/>
    <w:docVar w:name="dvnumam" w:val="0"/>
    <w:docVar w:name="dvpe" w:val="784.310"/>
    <w:docVar w:name="dvrapporteur" w:val="Relatora: "/>
    <w:docVar w:name="dvstar" w:val="***I"/>
    <w:docVar w:name="dvtitre" w:val="Resolução legislativa do Parlamento Europeu, de ... de ... de 2026,_x000d__x000a_ sobre a proposta de regulamento do Parlamento Europeu e do Conselho que altera o Regulamento (UE) 2021/1232 no respeitante à prorrogação do seu período de aplicação(COM(2025)0797 – C10-0370/2025 – 2025/0429(COD))"/>
  </w:docVars>
  <w:rsids>
    <w:rsidRoot w:val="00B2041F"/>
    <w:rsid w:val="00002272"/>
    <w:rsid w:val="00064002"/>
    <w:rsid w:val="000677B9"/>
    <w:rsid w:val="000831BA"/>
    <w:rsid w:val="000A42CC"/>
    <w:rsid w:val="000E7DD9"/>
    <w:rsid w:val="000F0CA3"/>
    <w:rsid w:val="0010095E"/>
    <w:rsid w:val="00125B37"/>
    <w:rsid w:val="00187494"/>
    <w:rsid w:val="001F32AE"/>
    <w:rsid w:val="00227D0E"/>
    <w:rsid w:val="002767FF"/>
    <w:rsid w:val="002B18FE"/>
    <w:rsid w:val="002B5493"/>
    <w:rsid w:val="002D2050"/>
    <w:rsid w:val="00330B6B"/>
    <w:rsid w:val="00343214"/>
    <w:rsid w:val="00361C00"/>
    <w:rsid w:val="00395FA1"/>
    <w:rsid w:val="003C7490"/>
    <w:rsid w:val="003E15D4"/>
    <w:rsid w:val="00411CCE"/>
    <w:rsid w:val="0041666E"/>
    <w:rsid w:val="00421060"/>
    <w:rsid w:val="00471C19"/>
    <w:rsid w:val="004867E3"/>
    <w:rsid w:val="00494A28"/>
    <w:rsid w:val="004B16E0"/>
    <w:rsid w:val="004C0004"/>
    <w:rsid w:val="004C5D52"/>
    <w:rsid w:val="00502035"/>
    <w:rsid w:val="0050519A"/>
    <w:rsid w:val="005072A1"/>
    <w:rsid w:val="00514517"/>
    <w:rsid w:val="005420F9"/>
    <w:rsid w:val="00545827"/>
    <w:rsid w:val="00560270"/>
    <w:rsid w:val="00582F13"/>
    <w:rsid w:val="005C2568"/>
    <w:rsid w:val="005D3CCA"/>
    <w:rsid w:val="005F1B17"/>
    <w:rsid w:val="006037C0"/>
    <w:rsid w:val="0064759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98B"/>
    <w:rsid w:val="007856E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1100"/>
    <w:rsid w:val="009D5155"/>
    <w:rsid w:val="00A1687D"/>
    <w:rsid w:val="00A43E52"/>
    <w:rsid w:val="00A4678D"/>
    <w:rsid w:val="00A778C7"/>
    <w:rsid w:val="00A904AB"/>
    <w:rsid w:val="00AB3555"/>
    <w:rsid w:val="00AB441E"/>
    <w:rsid w:val="00AB6293"/>
    <w:rsid w:val="00AE0928"/>
    <w:rsid w:val="00AF3B82"/>
    <w:rsid w:val="00B0291F"/>
    <w:rsid w:val="00B12E95"/>
    <w:rsid w:val="00B2041F"/>
    <w:rsid w:val="00B22876"/>
    <w:rsid w:val="00B558F0"/>
    <w:rsid w:val="00BA6501"/>
    <w:rsid w:val="00BD48FE"/>
    <w:rsid w:val="00BD7BD8"/>
    <w:rsid w:val="00BE4A43"/>
    <w:rsid w:val="00BE6ADC"/>
    <w:rsid w:val="00C05BFE"/>
    <w:rsid w:val="00C23CD4"/>
    <w:rsid w:val="00C33272"/>
    <w:rsid w:val="00C61C0C"/>
    <w:rsid w:val="00C67B3F"/>
    <w:rsid w:val="00C941CB"/>
    <w:rsid w:val="00CB3EDE"/>
    <w:rsid w:val="00CC2357"/>
    <w:rsid w:val="00CF071A"/>
    <w:rsid w:val="00CF70F4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468"/>
    <w:rsid w:val="00F74202"/>
    <w:rsid w:val="00F87713"/>
    <w:rsid w:val="00F91F25"/>
    <w:rsid w:val="00FA7A6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1E76A4"/>
  <w15:chartTrackingRefBased/>
  <w15:docId w15:val="{EE9F86A1-1F25-43BA-BC80-B7D0EDC09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647593"/>
    <w:pPr>
      <w:keepLines/>
      <w:widowControl/>
      <w:ind w:left="851" w:hanging="851"/>
    </w:pPr>
    <w:rPr>
      <w:lang w:val="fr-FR" w:eastAsia="fr-FR"/>
    </w:rPr>
  </w:style>
  <w:style w:type="character" w:customStyle="1" w:styleId="FootnoteTextChar">
    <w:name w:val="Footnote Text Char"/>
    <w:link w:val="FootnoteText"/>
    <w:semiHidden/>
    <w:rsid w:val="00647593"/>
    <w:rPr>
      <w:sz w:val="24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6501"/>
    <w:pPr>
      <w:spacing w:before="480" w:after="240"/>
    </w:pPr>
  </w:style>
  <w:style w:type="paragraph" w:customStyle="1" w:styleId="NormalBold">
    <w:name w:val="NormalBold"/>
    <w:basedOn w:val="Normal"/>
    <w:rsid w:val="00BA6501"/>
    <w:rPr>
      <w:b/>
    </w:rPr>
  </w:style>
  <w:style w:type="paragraph" w:customStyle="1" w:styleId="NormalHanging12a">
    <w:name w:val="NormalHanging12a"/>
    <w:basedOn w:val="Normal"/>
    <w:rsid w:val="00BA650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E4A43"/>
    <w:rPr>
      <w:sz w:val="24"/>
      <w:lang w:val="pt-PT"/>
    </w:rPr>
  </w:style>
  <w:style w:type="character" w:styleId="CommentReference">
    <w:name w:val="annotation reference"/>
    <w:basedOn w:val="DefaultParagraphFont"/>
    <w:rsid w:val="00BE4A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4A4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E4A4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E4A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4A43"/>
    <w:rPr>
      <w:b/>
      <w:bCs/>
      <w:lang w:val="pt-PT"/>
    </w:rPr>
  </w:style>
  <w:style w:type="character" w:styleId="Hyperlink">
    <w:name w:val="Hyperlink"/>
    <w:basedOn w:val="DefaultParagraphFont"/>
    <w:rsid w:val="00BE4A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A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574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2026-03-26T12:21:00Z</dcterms:created>
  <dcterms:modified xsi:type="dcterms:W3CDTF">2026-03-26T12:21:00Z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