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666F" w14:paraId="49FC2E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F3AF72" w14:textId="77777777" w:rsidR="00751A4A" w:rsidRPr="0012666F" w:rsidRDefault="004B3FA0" w:rsidP="0010095E">
            <w:pPr>
              <w:pStyle w:val="EPName"/>
            </w:pPr>
            <w:r w:rsidRPr="0012666F">
              <w:t>Parlamentul European</w:t>
            </w:r>
          </w:p>
          <w:p w14:paraId="539E74EA" w14:textId="77777777" w:rsidR="00751A4A" w:rsidRPr="001266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666F">
              <w:t>2024</w:t>
            </w:r>
            <w:r w:rsidR="00817416" w:rsidRPr="0012666F">
              <w:t>-202</w:t>
            </w:r>
            <w:r w:rsidRPr="0012666F">
              <w:t>9</w:t>
            </w:r>
          </w:p>
        </w:tc>
        <w:tc>
          <w:tcPr>
            <w:tcW w:w="2268" w:type="dxa"/>
            <w:shd w:val="clear" w:color="auto" w:fill="auto"/>
          </w:tcPr>
          <w:p w14:paraId="00F8204F" w14:textId="77777777" w:rsidR="00751A4A" w:rsidRPr="0012666F" w:rsidRDefault="00187494" w:rsidP="0010095E">
            <w:pPr>
              <w:pStyle w:val="EPLogo"/>
            </w:pPr>
            <w:r w:rsidRPr="0012666F">
              <w:rPr>
                <w:noProof/>
                <w:lang w:eastAsia="ja-JP"/>
              </w:rPr>
              <w:drawing>
                <wp:inline distT="0" distB="0" distL="0" distR="0" wp14:anchorId="7B31B265" wp14:editId="3C95BB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8BCAC7" w14:textId="77777777" w:rsidR="00D058B8" w:rsidRPr="0012666F" w:rsidRDefault="00D058B8" w:rsidP="004C5D52">
      <w:pPr>
        <w:pStyle w:val="LineTop"/>
      </w:pPr>
    </w:p>
    <w:p w14:paraId="0FEF188D" w14:textId="77777777" w:rsidR="00680577" w:rsidRPr="0012666F" w:rsidRDefault="004B3FA0" w:rsidP="00680577">
      <w:pPr>
        <w:pStyle w:val="EPBodyTA1"/>
      </w:pPr>
      <w:r w:rsidRPr="0012666F">
        <w:t>TEXTE ADOPTATE</w:t>
      </w:r>
    </w:p>
    <w:p w14:paraId="628D8E0C" w14:textId="77777777" w:rsidR="00D058B8" w:rsidRPr="0012666F" w:rsidRDefault="00D058B8" w:rsidP="00D058B8">
      <w:pPr>
        <w:pStyle w:val="LineBottom"/>
      </w:pPr>
    </w:p>
    <w:p w14:paraId="6B8F3E5E" w14:textId="182EB69E" w:rsidR="004B3FA0" w:rsidRPr="0012666F" w:rsidRDefault="004B3FA0" w:rsidP="004B3FA0">
      <w:pPr>
        <w:pStyle w:val="ATHeading1"/>
      </w:pPr>
      <w:bookmarkStart w:id="0" w:name="TANumber"/>
      <w:r w:rsidRPr="0012666F">
        <w:t>P10_TA(2026)00</w:t>
      </w:r>
      <w:bookmarkEnd w:id="0"/>
      <w:r w:rsidR="009017F9" w:rsidRPr="0012666F">
        <w:t>95</w:t>
      </w:r>
    </w:p>
    <w:p w14:paraId="71589E72" w14:textId="2308EE05" w:rsidR="004B3FA0" w:rsidRPr="0012666F" w:rsidRDefault="004746F0" w:rsidP="004B3FA0">
      <w:pPr>
        <w:pStyle w:val="ATHeading2"/>
      </w:pPr>
      <w:bookmarkStart w:id="1" w:name="title"/>
      <w:r w:rsidRPr="0012666F">
        <w:t>M</w:t>
      </w:r>
      <w:r w:rsidR="004B3FA0" w:rsidRPr="0012666F">
        <w:t>odificarea Regulamentului (UE) 2021/1232 în ceea ce privește prelungirea perioadei de aplicare a acestuia</w:t>
      </w:r>
      <w:bookmarkEnd w:id="1"/>
    </w:p>
    <w:p w14:paraId="6FC376D2" w14:textId="77777777" w:rsidR="004B3FA0" w:rsidRPr="0012666F" w:rsidRDefault="004B3FA0" w:rsidP="004B3FA0">
      <w:pPr>
        <w:rPr>
          <w:i/>
          <w:vanish/>
        </w:rPr>
      </w:pPr>
      <w:r w:rsidRPr="0012666F">
        <w:rPr>
          <w:i/>
        </w:rPr>
        <w:fldChar w:fldCharType="begin"/>
      </w:r>
      <w:r w:rsidRPr="0012666F">
        <w:rPr>
          <w:i/>
        </w:rPr>
        <w:instrText xml:space="preserve"> TC"(</w:instrText>
      </w:r>
      <w:bookmarkStart w:id="2" w:name="DocNumber"/>
      <w:r w:rsidRPr="0012666F">
        <w:rPr>
          <w:i/>
        </w:rPr>
        <w:instrText>A10-0040/2026</w:instrText>
      </w:r>
      <w:bookmarkEnd w:id="2"/>
      <w:r w:rsidRPr="0012666F">
        <w:rPr>
          <w:i/>
        </w:rPr>
        <w:instrText xml:space="preserve"> - Raportoare: </w:instrText>
      </w:r>
      <w:proofErr w:type="spellStart"/>
      <w:r w:rsidRPr="0012666F">
        <w:rPr>
          <w:i/>
        </w:rPr>
        <w:instrText>Birgit</w:instrText>
      </w:r>
      <w:proofErr w:type="spellEnd"/>
      <w:r w:rsidRPr="0012666F">
        <w:rPr>
          <w:i/>
        </w:rPr>
        <w:instrText xml:space="preserve"> </w:instrText>
      </w:r>
      <w:proofErr w:type="spellStart"/>
      <w:r w:rsidRPr="0012666F">
        <w:rPr>
          <w:i/>
        </w:rPr>
        <w:instrText>Sippel</w:instrText>
      </w:r>
      <w:proofErr w:type="spellEnd"/>
      <w:r w:rsidRPr="0012666F">
        <w:rPr>
          <w:i/>
        </w:rPr>
        <w:instrText xml:space="preserve">)"\l3 \n&gt; \* MERGEFORMAT </w:instrText>
      </w:r>
      <w:r w:rsidRPr="0012666F">
        <w:rPr>
          <w:i/>
        </w:rPr>
        <w:fldChar w:fldCharType="end"/>
      </w:r>
    </w:p>
    <w:p w14:paraId="38B2366C" w14:textId="77777777" w:rsidR="004B3FA0" w:rsidRPr="0012666F" w:rsidRDefault="004B3FA0" w:rsidP="004B3FA0">
      <w:pPr>
        <w:rPr>
          <w:vanish/>
        </w:rPr>
      </w:pPr>
      <w:bookmarkStart w:id="3" w:name="Commission"/>
      <w:r w:rsidRPr="0012666F">
        <w:rPr>
          <w:vanish/>
        </w:rPr>
        <w:t>Comisia pentru libertăți civile, justiție și afaceri interne</w:t>
      </w:r>
      <w:bookmarkEnd w:id="3"/>
    </w:p>
    <w:p w14:paraId="27DEA8E0" w14:textId="77777777" w:rsidR="004B3FA0" w:rsidRPr="0012666F" w:rsidRDefault="004B3FA0" w:rsidP="004B3FA0">
      <w:pPr>
        <w:rPr>
          <w:vanish/>
        </w:rPr>
      </w:pPr>
      <w:bookmarkStart w:id="4" w:name="PE"/>
      <w:r w:rsidRPr="0012666F">
        <w:rPr>
          <w:vanish/>
        </w:rPr>
        <w:t>PE784.310</w:t>
      </w:r>
      <w:bookmarkEnd w:id="4"/>
    </w:p>
    <w:p w14:paraId="24015279" w14:textId="77777777" w:rsidR="004B3FA0" w:rsidRPr="0012666F" w:rsidRDefault="004B3FA0" w:rsidP="004B3FA0">
      <w:pPr>
        <w:pStyle w:val="ATHeading3"/>
      </w:pPr>
      <w:bookmarkStart w:id="5" w:name="Sujet"/>
      <w:r w:rsidRPr="0012666F">
        <w:t>Rezoluția legislativă a Parlamentului European din 26 martie 2026 referitoare la propunerea de regulament al Parlamentului European și al Consiliului de modificare a Regulamentului (UE) 2021/1232 în ceea ce privește prelungirea perioadei de aplicare a acestuia</w:t>
      </w:r>
      <w:bookmarkEnd w:id="5"/>
      <w:r w:rsidRPr="0012666F">
        <w:t xml:space="preserve"> </w:t>
      </w:r>
      <w:bookmarkStart w:id="6" w:name="References"/>
      <w:r w:rsidRPr="0012666F">
        <w:t>(COM(2025)0797 – C10-0370/2025 – 2025/0429(COD))</w:t>
      </w:r>
      <w:bookmarkEnd w:id="6"/>
    </w:p>
    <w:p w14:paraId="61C5AF2A" w14:textId="77777777" w:rsidR="004B3FA0" w:rsidRPr="0012666F" w:rsidRDefault="004B3FA0" w:rsidP="004B3FA0"/>
    <w:p w14:paraId="3968DFEC" w14:textId="77777777" w:rsidR="002D3DB6" w:rsidRPr="0012666F" w:rsidRDefault="002D3DB6" w:rsidP="002D3DB6">
      <w:pPr>
        <w:pStyle w:val="NormalBold"/>
      </w:pPr>
      <w:bookmarkStart w:id="7" w:name="TextBodyBegin"/>
      <w:bookmarkEnd w:id="7"/>
      <w:r w:rsidRPr="0012666F">
        <w:t>(Procedura legislativă ordinară: prima lectură)</w:t>
      </w:r>
    </w:p>
    <w:p w14:paraId="0763454B" w14:textId="77777777" w:rsidR="002D3DB6" w:rsidRPr="0012666F" w:rsidRDefault="002D3DB6" w:rsidP="002D3DB6">
      <w:pPr>
        <w:pStyle w:val="EPComma"/>
      </w:pPr>
      <w:r w:rsidRPr="0012666F">
        <w:rPr>
          <w:i/>
          <w:iCs/>
        </w:rPr>
        <w:t>Parlamentul European</w:t>
      </w:r>
      <w:r w:rsidRPr="0012666F">
        <w:t>,</w:t>
      </w:r>
    </w:p>
    <w:p w14:paraId="0665F896" w14:textId="77777777" w:rsidR="002D3DB6" w:rsidRPr="0012666F" w:rsidRDefault="002D3DB6" w:rsidP="002D3DB6">
      <w:pPr>
        <w:pStyle w:val="NormalHanging12a"/>
      </w:pPr>
      <w:r w:rsidRPr="0012666F">
        <w:t>–</w:t>
      </w:r>
      <w:r w:rsidRPr="0012666F">
        <w:tab/>
        <w:t>având în vedere propunerea Comisiei prezentată Parlamentului European și Consiliului (COM(2025)0797),</w:t>
      </w:r>
    </w:p>
    <w:p w14:paraId="10FE37A9" w14:textId="77777777" w:rsidR="002D3DB6" w:rsidRPr="0012666F" w:rsidRDefault="002D3DB6" w:rsidP="002D3DB6">
      <w:pPr>
        <w:pStyle w:val="NormalHanging12a"/>
      </w:pPr>
      <w:r w:rsidRPr="0012666F">
        <w:t>–</w:t>
      </w:r>
      <w:r w:rsidRPr="0012666F">
        <w:tab/>
        <w:t>având în vedere articolul 294 alineatul (2), articolul 16 alineatul (2) și articolul 114 alineatul (1) din Tratatul privind funcționarea Uniunii Europene, în temeiul cărora propunerea a fost prezentată de către Comisie (C10</w:t>
      </w:r>
      <w:r w:rsidRPr="0012666F">
        <w:noBreakHyphen/>
        <w:t>0370/2025),</w:t>
      </w:r>
    </w:p>
    <w:p w14:paraId="03AA0579" w14:textId="77777777" w:rsidR="002D3DB6" w:rsidRPr="0012666F" w:rsidRDefault="002D3DB6" w:rsidP="002D3DB6">
      <w:pPr>
        <w:pStyle w:val="NormalHanging12a"/>
      </w:pPr>
      <w:r w:rsidRPr="0012666F">
        <w:t>–</w:t>
      </w:r>
      <w:r w:rsidRPr="0012666F">
        <w:tab/>
        <w:t>având în vedere articolul 294 alineatul (3) din Tratatul privind funcționarea Uniunii Europene,</w:t>
      </w:r>
    </w:p>
    <w:p w14:paraId="71F97488" w14:textId="778643F8" w:rsidR="008A630F" w:rsidRPr="0012666F" w:rsidRDefault="008A630F" w:rsidP="002D3DB6">
      <w:pPr>
        <w:pStyle w:val="NormalHanging12a"/>
      </w:pPr>
      <w:bookmarkStart w:id="8" w:name="_Hlk224208863"/>
      <w:r w:rsidRPr="0012666F">
        <w:t>–</w:t>
      </w:r>
      <w:r w:rsidRPr="0012666F">
        <w:tab/>
        <w:t>având în vedere avizul Comitetului Economic și Social European din 21 ianuarie 2026</w:t>
      </w:r>
      <w:r w:rsidRPr="0012666F">
        <w:rPr>
          <w:rFonts w:eastAsia="Calibri"/>
          <w:noProof/>
          <w:szCs w:val="22"/>
          <w:vertAlign w:val="superscript"/>
        </w:rPr>
        <w:footnoteReference w:id="1"/>
      </w:r>
      <w:r w:rsidRPr="0012666F">
        <w:t>,</w:t>
      </w:r>
      <w:bookmarkEnd w:id="8"/>
    </w:p>
    <w:p w14:paraId="2CA0937A" w14:textId="77777777" w:rsidR="002D3DB6" w:rsidRPr="0012666F" w:rsidRDefault="002D3DB6" w:rsidP="002D3DB6">
      <w:pPr>
        <w:pStyle w:val="NormalHanging12a"/>
      </w:pPr>
      <w:r w:rsidRPr="0012666F">
        <w:t>–</w:t>
      </w:r>
      <w:r w:rsidRPr="0012666F">
        <w:tab/>
        <w:t>având în vedere articolul 60 din Regulamentul său de procedură,</w:t>
      </w:r>
    </w:p>
    <w:p w14:paraId="274682B8" w14:textId="77777777" w:rsidR="002D3DB6" w:rsidRPr="0012666F" w:rsidRDefault="002D3DB6" w:rsidP="002D3DB6">
      <w:pPr>
        <w:pStyle w:val="NormalHanging12a"/>
      </w:pPr>
      <w:r w:rsidRPr="0012666F">
        <w:t>–</w:t>
      </w:r>
      <w:r w:rsidRPr="0012666F">
        <w:tab/>
        <w:t>având în vedere raportul Comisiei pentru libertăți civile, justiție și afaceri interne (A10-0040/2026),</w:t>
      </w:r>
    </w:p>
    <w:p w14:paraId="76004247" w14:textId="77777777" w:rsidR="0012666F" w:rsidRDefault="002D3DB6" w:rsidP="002D3DB6">
      <w:pPr>
        <w:pStyle w:val="NormalHanging12a"/>
      </w:pPr>
      <w:r w:rsidRPr="0012666F">
        <w:t>1.</w:t>
      </w:r>
      <w:r w:rsidRPr="0012666F">
        <w:tab/>
      </w:r>
      <w:r w:rsidR="00BB5732" w:rsidRPr="0012666F">
        <w:t>respinge propunerea Comisiei</w:t>
      </w:r>
      <w:r w:rsidRPr="0012666F">
        <w:t>;</w:t>
      </w:r>
    </w:p>
    <w:p w14:paraId="5668F078" w14:textId="6D3A70A4" w:rsidR="002D3DB6" w:rsidRPr="0012666F" w:rsidRDefault="002D3DB6" w:rsidP="002D3DB6">
      <w:pPr>
        <w:pStyle w:val="NormalHanging12a"/>
      </w:pPr>
      <w:r w:rsidRPr="0012666F">
        <w:t>2.</w:t>
      </w:r>
      <w:r w:rsidRPr="0012666F">
        <w:tab/>
      </w:r>
      <w:r w:rsidR="00760BEE" w:rsidRPr="0012666F">
        <w:t>invită Comisia</w:t>
      </w:r>
      <w:r w:rsidR="008A630F" w:rsidRPr="0012666F">
        <w:t xml:space="preserve"> să </w:t>
      </w:r>
      <w:r w:rsidR="00BB5732" w:rsidRPr="0012666F">
        <w:t>își retragă propunerea</w:t>
      </w:r>
      <w:r w:rsidR="008A630F" w:rsidRPr="0012666F">
        <w:t>;</w:t>
      </w:r>
    </w:p>
    <w:p w14:paraId="12DDFFF7" w14:textId="77777777" w:rsidR="002D3DB6" w:rsidRPr="0012666F" w:rsidRDefault="002D3DB6" w:rsidP="002D3DB6">
      <w:pPr>
        <w:pStyle w:val="NormalHanging12a"/>
      </w:pPr>
      <w:r w:rsidRPr="0012666F">
        <w:t>3.</w:t>
      </w:r>
      <w:r w:rsidRPr="0012666F">
        <w:tab/>
        <w:t xml:space="preserve">încredințează Președintei sarcina de a transmite Consiliului și Comisiei, precum și </w:t>
      </w:r>
      <w:r w:rsidRPr="0012666F">
        <w:lastRenderedPageBreak/>
        <w:t>parlamentelor naționale poziția Parlamentului.</w:t>
      </w:r>
    </w:p>
    <w:p w14:paraId="69B16E6F" w14:textId="77777777" w:rsidR="002D3DB6" w:rsidRPr="0012666F" w:rsidRDefault="002D3DB6" w:rsidP="002D3DB6"/>
    <w:p w14:paraId="3A7FE498" w14:textId="77777777" w:rsidR="00B17A33" w:rsidRPr="0012666F" w:rsidRDefault="00B17A33" w:rsidP="00AC519D">
      <w:pPr>
        <w:spacing w:before="240"/>
      </w:pPr>
    </w:p>
    <w:sectPr w:rsidR="00B17A33" w:rsidRPr="0012666F" w:rsidSect="00326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B6EE" w14:textId="77777777" w:rsidR="004B3FA0" w:rsidRPr="00326634" w:rsidRDefault="004B3FA0">
      <w:r w:rsidRPr="00326634">
        <w:separator/>
      </w:r>
    </w:p>
  </w:endnote>
  <w:endnote w:type="continuationSeparator" w:id="0">
    <w:p w14:paraId="67EB7D25" w14:textId="77777777" w:rsidR="004B3FA0" w:rsidRPr="00326634" w:rsidRDefault="004B3FA0">
      <w:r w:rsidRPr="003266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1132F" w14:textId="77777777" w:rsidR="00064002" w:rsidRPr="003266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F8B3" w14:textId="77777777" w:rsidR="00064002" w:rsidRPr="003266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F0F4A" w14:textId="77777777" w:rsidR="00064002" w:rsidRPr="003266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8F0EE" w14:textId="77777777" w:rsidR="004B3FA0" w:rsidRPr="00326634" w:rsidRDefault="004B3FA0">
      <w:r w:rsidRPr="00326634">
        <w:separator/>
      </w:r>
    </w:p>
  </w:footnote>
  <w:footnote w:type="continuationSeparator" w:id="0">
    <w:p w14:paraId="680E626A" w14:textId="77777777" w:rsidR="004B3FA0" w:rsidRPr="00326634" w:rsidRDefault="004B3FA0">
      <w:r w:rsidRPr="00326634">
        <w:continuationSeparator/>
      </w:r>
    </w:p>
  </w:footnote>
  <w:footnote w:id="1">
    <w:p w14:paraId="74EA7D3F" w14:textId="3661021B" w:rsidR="008A630F" w:rsidRPr="009017F9" w:rsidRDefault="008A630F" w:rsidP="009017F9">
      <w:pPr>
        <w:pStyle w:val="FootnoteText"/>
        <w:ind w:left="567" w:hanging="567"/>
        <w:rPr>
          <w:sz w:val="24"/>
          <w:szCs w:val="24"/>
          <w:lang w:val="ro-RO"/>
        </w:rPr>
      </w:pPr>
      <w:r w:rsidRPr="009017F9">
        <w:rPr>
          <w:rStyle w:val="FootnoteReference"/>
          <w:sz w:val="24"/>
          <w:szCs w:val="24"/>
          <w:lang w:val="ro-RO"/>
        </w:rPr>
        <w:footnoteRef/>
      </w:r>
      <w:r w:rsidRPr="009017F9">
        <w:rPr>
          <w:sz w:val="24"/>
          <w:szCs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6357" w14:textId="77777777" w:rsidR="00064002" w:rsidRPr="003266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99B7" w14:textId="77777777" w:rsidR="00064002" w:rsidRPr="003266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B4314" w14:textId="77777777" w:rsidR="00064002" w:rsidRPr="003266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7750123">
    <w:abstractNumId w:val="9"/>
  </w:num>
  <w:num w:numId="2" w16cid:durableId="1480001799">
    <w:abstractNumId w:val="9"/>
  </w:num>
  <w:num w:numId="3" w16cid:durableId="2007588156">
    <w:abstractNumId w:val="7"/>
  </w:num>
  <w:num w:numId="4" w16cid:durableId="2041467473">
    <w:abstractNumId w:val="7"/>
  </w:num>
  <w:num w:numId="5" w16cid:durableId="1262101571">
    <w:abstractNumId w:val="6"/>
  </w:num>
  <w:num w:numId="6" w16cid:durableId="1434521493">
    <w:abstractNumId w:val="6"/>
  </w:num>
  <w:num w:numId="7" w16cid:durableId="174416677">
    <w:abstractNumId w:val="5"/>
  </w:num>
  <w:num w:numId="8" w16cid:durableId="170487133">
    <w:abstractNumId w:val="5"/>
  </w:num>
  <w:num w:numId="9" w16cid:durableId="1213467346">
    <w:abstractNumId w:val="4"/>
  </w:num>
  <w:num w:numId="10" w16cid:durableId="636298610">
    <w:abstractNumId w:val="4"/>
  </w:num>
  <w:num w:numId="11" w16cid:durableId="422460736">
    <w:abstractNumId w:val="8"/>
  </w:num>
  <w:num w:numId="12" w16cid:durableId="1683122231">
    <w:abstractNumId w:val="8"/>
  </w:num>
  <w:num w:numId="13" w16cid:durableId="1860124423">
    <w:abstractNumId w:val="3"/>
  </w:num>
  <w:num w:numId="14" w16cid:durableId="1450200781">
    <w:abstractNumId w:val="3"/>
  </w:num>
  <w:num w:numId="15" w16cid:durableId="1716813762">
    <w:abstractNumId w:val="2"/>
  </w:num>
  <w:num w:numId="16" w16cid:durableId="1197932770">
    <w:abstractNumId w:val="2"/>
  </w:num>
  <w:num w:numId="17" w16cid:durableId="1675305606">
    <w:abstractNumId w:val="1"/>
  </w:num>
  <w:num w:numId="18" w16cid:durableId="999239270">
    <w:abstractNumId w:val="1"/>
  </w:num>
  <w:num w:numId="19" w16cid:durableId="452214457">
    <w:abstractNumId w:val="0"/>
  </w:num>
  <w:num w:numId="20" w16cid:durableId="1121801926">
    <w:abstractNumId w:val="0"/>
  </w:num>
  <w:num w:numId="21" w16cid:durableId="1870869313">
    <w:abstractNumId w:val="9"/>
  </w:num>
  <w:num w:numId="22" w16cid:durableId="597297808">
    <w:abstractNumId w:val="7"/>
  </w:num>
  <w:num w:numId="23" w16cid:durableId="1637832048">
    <w:abstractNumId w:val="6"/>
  </w:num>
  <w:num w:numId="24" w16cid:durableId="1320233724">
    <w:abstractNumId w:val="5"/>
  </w:num>
  <w:num w:numId="25" w16cid:durableId="2037844944">
    <w:abstractNumId w:val="4"/>
  </w:num>
  <w:num w:numId="26" w16cid:durableId="136918081">
    <w:abstractNumId w:val="8"/>
  </w:num>
  <w:num w:numId="27" w16cid:durableId="1008602340">
    <w:abstractNumId w:val="3"/>
  </w:num>
  <w:num w:numId="28" w16cid:durableId="65733045">
    <w:abstractNumId w:val="2"/>
  </w:num>
  <w:num w:numId="29" w16cid:durableId="2123645706">
    <w:abstractNumId w:val="1"/>
  </w:num>
  <w:num w:numId="30" w16cid:durableId="1623027286">
    <w:abstractNumId w:val="0"/>
  </w:num>
  <w:num w:numId="31" w16cid:durableId="923299833">
    <w:abstractNumId w:val="9"/>
  </w:num>
  <w:num w:numId="32" w16cid:durableId="1821187160">
    <w:abstractNumId w:val="7"/>
  </w:num>
  <w:num w:numId="33" w16cid:durableId="1920019145">
    <w:abstractNumId w:val="6"/>
  </w:num>
  <w:num w:numId="34" w16cid:durableId="615991757">
    <w:abstractNumId w:val="5"/>
  </w:num>
  <w:num w:numId="35" w16cid:durableId="1451901066">
    <w:abstractNumId w:val="4"/>
  </w:num>
  <w:num w:numId="36" w16cid:durableId="1590848530">
    <w:abstractNumId w:val="8"/>
  </w:num>
  <w:num w:numId="37" w16cid:durableId="1753895591">
    <w:abstractNumId w:val="3"/>
  </w:num>
  <w:num w:numId="38" w16cid:durableId="126700142">
    <w:abstractNumId w:val="2"/>
  </w:num>
  <w:num w:numId="39" w16cid:durableId="424805301">
    <w:abstractNumId w:val="1"/>
  </w:num>
  <w:num w:numId="40" w16cid:durableId="449010912">
    <w:abstractNumId w:val="0"/>
  </w:num>
  <w:num w:numId="41" w16cid:durableId="581255054">
    <w:abstractNumId w:val="10"/>
  </w:num>
  <w:num w:numId="42" w16cid:durableId="1117944219">
    <w:abstractNumId w:val="10"/>
  </w:num>
  <w:num w:numId="43" w16cid:durableId="1666208153">
    <w:abstractNumId w:val="10"/>
  </w:num>
  <w:num w:numId="44" w16cid:durableId="1862157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RO"/>
    <w:docVar w:name="dvnumam" w:val="0"/>
    <w:docVar w:name="dvpe" w:val="784.310"/>
    <w:docVar w:name="dvrapporteur" w:val="Raportoare: "/>
    <w:docVar w:name="dvstar" w:val="***I"/>
    <w:docVar w:name="dvtitre" w:val="Rezoluția legislativă a Parlamentului European din 26 martie 2026 referitoare la propunerea de regulament al Parlamentului European și al Consiliului de modificare a Regulamentului (UE) 2021/1232 în ceea ce privește prelungirea perioadei de aplicare a acestuia(COM(2025)0797 – C10-0370/2025 – 2025/0429(COD))"/>
  </w:docVars>
  <w:rsids>
    <w:rsidRoot w:val="004B3FA0"/>
    <w:rsid w:val="00002272"/>
    <w:rsid w:val="00064002"/>
    <w:rsid w:val="000677B9"/>
    <w:rsid w:val="000831BA"/>
    <w:rsid w:val="000A42CC"/>
    <w:rsid w:val="000E7DD9"/>
    <w:rsid w:val="0010095E"/>
    <w:rsid w:val="00125B37"/>
    <w:rsid w:val="0012666F"/>
    <w:rsid w:val="00187494"/>
    <w:rsid w:val="001E0719"/>
    <w:rsid w:val="001F32AE"/>
    <w:rsid w:val="002767FF"/>
    <w:rsid w:val="002B18FE"/>
    <w:rsid w:val="002B2DC6"/>
    <w:rsid w:val="002B5493"/>
    <w:rsid w:val="002D3DB6"/>
    <w:rsid w:val="00326634"/>
    <w:rsid w:val="00343214"/>
    <w:rsid w:val="00361C00"/>
    <w:rsid w:val="00395FA1"/>
    <w:rsid w:val="003E15D4"/>
    <w:rsid w:val="00411CCE"/>
    <w:rsid w:val="0041666E"/>
    <w:rsid w:val="00421060"/>
    <w:rsid w:val="00471C19"/>
    <w:rsid w:val="004746F0"/>
    <w:rsid w:val="004867E3"/>
    <w:rsid w:val="00494A28"/>
    <w:rsid w:val="004B3FA0"/>
    <w:rsid w:val="004C0004"/>
    <w:rsid w:val="004C5D52"/>
    <w:rsid w:val="0050519A"/>
    <w:rsid w:val="005072A1"/>
    <w:rsid w:val="00514517"/>
    <w:rsid w:val="00514F18"/>
    <w:rsid w:val="00545827"/>
    <w:rsid w:val="00560270"/>
    <w:rsid w:val="005C139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BE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30F"/>
    <w:rsid w:val="008C2AC6"/>
    <w:rsid w:val="009017F9"/>
    <w:rsid w:val="00930C23"/>
    <w:rsid w:val="0093193B"/>
    <w:rsid w:val="009509D8"/>
    <w:rsid w:val="00950B64"/>
    <w:rsid w:val="00981893"/>
    <w:rsid w:val="009E3F83"/>
    <w:rsid w:val="00A1687D"/>
    <w:rsid w:val="00A43E52"/>
    <w:rsid w:val="00A4678D"/>
    <w:rsid w:val="00A778C7"/>
    <w:rsid w:val="00AB441E"/>
    <w:rsid w:val="00AB6293"/>
    <w:rsid w:val="00AC519D"/>
    <w:rsid w:val="00AE0928"/>
    <w:rsid w:val="00AF3B82"/>
    <w:rsid w:val="00B12E95"/>
    <w:rsid w:val="00B17A33"/>
    <w:rsid w:val="00B22876"/>
    <w:rsid w:val="00B558F0"/>
    <w:rsid w:val="00BB573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300"/>
    <w:rsid w:val="00DF12D0"/>
    <w:rsid w:val="00E365E1"/>
    <w:rsid w:val="00E820A4"/>
    <w:rsid w:val="00EB006A"/>
    <w:rsid w:val="00EB4772"/>
    <w:rsid w:val="00ED169E"/>
    <w:rsid w:val="00ED4235"/>
    <w:rsid w:val="00EE1B8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328B8"/>
  <w15:chartTrackingRefBased/>
  <w15:docId w15:val="{B463B0C3-31A8-4D35-93B9-320CD354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D3D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D3DB6"/>
    <w:pPr>
      <w:spacing w:before="480" w:after="240"/>
    </w:pPr>
  </w:style>
  <w:style w:type="paragraph" w:customStyle="1" w:styleId="PageHeading">
    <w:name w:val="PageHeading"/>
    <w:basedOn w:val="Normal"/>
    <w:rsid w:val="002D3D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D3DB6"/>
    <w:rPr>
      <w:b/>
    </w:rPr>
  </w:style>
  <w:style w:type="paragraph" w:customStyle="1" w:styleId="NormalHanging12a">
    <w:name w:val="NormalHanging12a"/>
    <w:basedOn w:val="Normal"/>
    <w:rsid w:val="002D3DB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D3D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3DB6"/>
    <w:rPr>
      <w:sz w:val="24"/>
      <w:lang w:val="ro-RO"/>
    </w:rPr>
  </w:style>
  <w:style w:type="paragraph" w:customStyle="1" w:styleId="EPFooter">
    <w:name w:val="EPFooter"/>
    <w:basedOn w:val="Normal"/>
    <w:rsid w:val="002D3D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2D3DB6"/>
    <w:pPr>
      <w:spacing w:after="480"/>
    </w:pPr>
  </w:style>
  <w:style w:type="paragraph" w:customStyle="1" w:styleId="NormalBoldCenter">
    <w:name w:val="NormalBoldCenter"/>
    <w:basedOn w:val="Normal"/>
    <w:rsid w:val="002D3DB6"/>
    <w:pPr>
      <w:jc w:val="center"/>
    </w:pPr>
    <w:rPr>
      <w:b/>
    </w:rPr>
  </w:style>
  <w:style w:type="paragraph" w:customStyle="1" w:styleId="Footprint12b">
    <w:name w:val="Footprint12b"/>
    <w:basedOn w:val="Normal"/>
    <w:rsid w:val="002D3DB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D3DB6"/>
    <w:rPr>
      <w:szCs w:val="24"/>
    </w:rPr>
  </w:style>
  <w:style w:type="character" w:styleId="Hyperlink">
    <w:name w:val="Hyperlink"/>
    <w:basedOn w:val="DefaultParagraphFont"/>
    <w:uiPriority w:val="99"/>
    <w:rsid w:val="002D3DB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A630F"/>
    <w:rPr>
      <w:sz w:val="24"/>
      <w:lang w:val="ro-RO"/>
    </w:rPr>
  </w:style>
  <w:style w:type="paragraph" w:styleId="Footer">
    <w:name w:val="footer"/>
    <w:basedOn w:val="Normal"/>
    <w:link w:val="FooterChar"/>
    <w:rsid w:val="008A6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A630F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2026-03-26T12:40:00Z</dcterms:created>
  <dcterms:modified xsi:type="dcterms:W3CDTF">2026-03-26T12:40:00Z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