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3CD8" w14:paraId="28B19286" w14:textId="77777777" w:rsidTr="0010095E">
        <w:trPr>
          <w:trHeight w:hRule="exact" w:val="1418"/>
        </w:trPr>
        <w:tc>
          <w:tcPr>
            <w:tcW w:w="6804" w:type="dxa"/>
            <w:shd w:val="clear" w:color="auto" w:fill="auto"/>
            <w:vAlign w:val="center"/>
          </w:tcPr>
          <w:p w14:paraId="4B80459B" w14:textId="77777777" w:rsidR="00751A4A" w:rsidRPr="008C3CD8" w:rsidRDefault="007C6EBB" w:rsidP="0010095E">
            <w:pPr>
              <w:pStyle w:val="EPName"/>
            </w:pPr>
            <w:r w:rsidRPr="008C3CD8">
              <w:t>Parlement européen</w:t>
            </w:r>
          </w:p>
          <w:p w14:paraId="12FB21DB" w14:textId="77777777" w:rsidR="00751A4A" w:rsidRPr="008C3CD8" w:rsidRDefault="005F1B17" w:rsidP="005F1B17">
            <w:pPr>
              <w:pStyle w:val="EPTerm"/>
              <w:rPr>
                <w:rStyle w:val="HideTWBExt"/>
                <w:noProof w:val="0"/>
                <w:vanish w:val="0"/>
                <w:color w:val="auto"/>
              </w:rPr>
            </w:pPr>
            <w:r w:rsidRPr="008C3CD8">
              <w:t>2024</w:t>
            </w:r>
            <w:r w:rsidR="00817416" w:rsidRPr="008C3CD8">
              <w:t>-202</w:t>
            </w:r>
            <w:r w:rsidRPr="008C3CD8">
              <w:t>9</w:t>
            </w:r>
          </w:p>
        </w:tc>
        <w:tc>
          <w:tcPr>
            <w:tcW w:w="2268" w:type="dxa"/>
            <w:shd w:val="clear" w:color="auto" w:fill="auto"/>
          </w:tcPr>
          <w:p w14:paraId="474E7A2B" w14:textId="77777777" w:rsidR="00751A4A" w:rsidRPr="008C3CD8" w:rsidRDefault="00187494" w:rsidP="0010095E">
            <w:pPr>
              <w:pStyle w:val="EPLogo"/>
            </w:pPr>
            <w:r w:rsidRPr="008C3CD8">
              <w:rPr>
                <w:noProof/>
                <w:lang w:eastAsia="ja-JP"/>
              </w:rPr>
              <w:drawing>
                <wp:inline distT="0" distB="0" distL="0" distR="0" wp14:anchorId="3E2BF6EA" wp14:editId="37AC31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EDC6C" w14:textId="77777777" w:rsidR="00D058B8" w:rsidRPr="008C3CD8" w:rsidRDefault="00D058B8" w:rsidP="004C5D52">
      <w:pPr>
        <w:pStyle w:val="LineTop"/>
      </w:pPr>
    </w:p>
    <w:p w14:paraId="4F6AE87C" w14:textId="77777777" w:rsidR="00680577" w:rsidRPr="008C3CD8" w:rsidRDefault="007C6EBB" w:rsidP="00680577">
      <w:pPr>
        <w:pStyle w:val="EPBodyTA1"/>
      </w:pPr>
      <w:r w:rsidRPr="008C3CD8">
        <w:t>TEXTES ADOPTÉS</w:t>
      </w:r>
    </w:p>
    <w:p w14:paraId="5365C14D" w14:textId="77777777" w:rsidR="00D058B8" w:rsidRPr="008C3CD8" w:rsidRDefault="00D058B8" w:rsidP="00D058B8">
      <w:pPr>
        <w:pStyle w:val="LineBottom"/>
      </w:pPr>
    </w:p>
    <w:p w14:paraId="01B5822A" w14:textId="3E041C7C" w:rsidR="007C6EBB" w:rsidRPr="008C3CD8" w:rsidRDefault="007C6EBB" w:rsidP="007C6EBB">
      <w:pPr>
        <w:pStyle w:val="ATHeading1"/>
      </w:pPr>
      <w:bookmarkStart w:id="0" w:name="TANumber"/>
      <w:r w:rsidRPr="008C3CD8">
        <w:t>P10_TA(2026)00</w:t>
      </w:r>
      <w:r w:rsidR="009F06A9">
        <w:t>97</w:t>
      </w:r>
      <w:bookmarkEnd w:id="0"/>
    </w:p>
    <w:p w14:paraId="2B4F3AE8" w14:textId="77777777" w:rsidR="007C6EBB" w:rsidRPr="008C3CD8" w:rsidRDefault="007C6EBB" w:rsidP="007C6EBB">
      <w:pPr>
        <w:pStyle w:val="ATHeading2"/>
      </w:pPr>
      <w:bookmarkStart w:id="1" w:name="title"/>
      <w:r w:rsidRPr="008C3CD8">
        <w:t>Non-application des droits de douane sur les importations de certaines marchandises</w:t>
      </w:r>
      <w:bookmarkEnd w:id="1"/>
    </w:p>
    <w:p w14:paraId="1993B239" w14:textId="77777777" w:rsidR="007C6EBB" w:rsidRPr="008C3CD8" w:rsidRDefault="007C6EBB" w:rsidP="007C6EBB">
      <w:pPr>
        <w:rPr>
          <w:i/>
          <w:vanish/>
        </w:rPr>
      </w:pPr>
      <w:r w:rsidRPr="008C3CD8">
        <w:rPr>
          <w:i/>
        </w:rPr>
        <w:fldChar w:fldCharType="begin"/>
      </w:r>
      <w:r w:rsidRPr="008C3CD8">
        <w:rPr>
          <w:i/>
        </w:rPr>
        <w:instrText xml:space="preserve"> TC"(</w:instrText>
      </w:r>
      <w:bookmarkStart w:id="2" w:name="DocNumber"/>
      <w:r w:rsidRPr="008C3CD8">
        <w:rPr>
          <w:i/>
        </w:rPr>
        <w:instrText>A10-0070/2026</w:instrText>
      </w:r>
      <w:bookmarkEnd w:id="2"/>
      <w:r w:rsidRPr="008C3CD8">
        <w:rPr>
          <w:i/>
        </w:rPr>
        <w:instrText xml:space="preserve"> - Rapporteur: Bernd Lange)"\l3 \n&gt; \* MERGEFORMAT </w:instrText>
      </w:r>
      <w:r w:rsidRPr="008C3CD8">
        <w:rPr>
          <w:i/>
        </w:rPr>
        <w:fldChar w:fldCharType="end"/>
      </w:r>
    </w:p>
    <w:p w14:paraId="5228FA51" w14:textId="77777777" w:rsidR="007C6EBB" w:rsidRPr="008C3CD8" w:rsidRDefault="007C6EBB" w:rsidP="007C6EBB">
      <w:pPr>
        <w:rPr>
          <w:vanish/>
        </w:rPr>
      </w:pPr>
      <w:bookmarkStart w:id="3" w:name="Commission"/>
      <w:r w:rsidRPr="008C3CD8">
        <w:rPr>
          <w:vanish/>
        </w:rPr>
        <w:t>Commission du commerce international</w:t>
      </w:r>
      <w:bookmarkEnd w:id="3"/>
    </w:p>
    <w:p w14:paraId="0917C574" w14:textId="77777777" w:rsidR="007C6EBB" w:rsidRPr="008C3CD8" w:rsidRDefault="007C6EBB" w:rsidP="007C6EBB">
      <w:pPr>
        <w:rPr>
          <w:vanish/>
        </w:rPr>
      </w:pPr>
      <w:bookmarkStart w:id="4" w:name="PE"/>
      <w:r w:rsidRPr="008C3CD8">
        <w:rPr>
          <w:vanish/>
        </w:rPr>
        <w:t>PE779.298</w:t>
      </w:r>
      <w:bookmarkEnd w:id="4"/>
    </w:p>
    <w:p w14:paraId="6FFEA650" w14:textId="17BCC635" w:rsidR="007C6EBB" w:rsidRPr="008C3CD8" w:rsidRDefault="009F06A9" w:rsidP="007C6EBB">
      <w:pPr>
        <w:pStyle w:val="ATHeading3"/>
      </w:pPr>
      <w:bookmarkStart w:id="5" w:name="Sujet"/>
      <w:r w:rsidRPr="0055007C">
        <w:rPr>
          <w:szCs w:val="24"/>
        </w:rPr>
        <w:t>Amendements du Parlement européen, adoptés le</w:t>
      </w:r>
      <w:r w:rsidR="007C6EBB" w:rsidRPr="009F06A9">
        <w:t xml:space="preserve"> 26</w:t>
      </w:r>
      <w:r w:rsidR="007C6EBB" w:rsidRPr="008C3CD8">
        <w:t xml:space="preserve"> mars 2026</w:t>
      </w:r>
      <w:r>
        <w:t>,</w:t>
      </w:r>
      <w:r w:rsidR="007C6EBB" w:rsidRPr="008C3CD8">
        <w:t xml:space="preserve"> </w:t>
      </w:r>
      <w:r>
        <w:t>à</w:t>
      </w:r>
      <w:r w:rsidR="007C6EBB" w:rsidRPr="008C3CD8">
        <w:t xml:space="preserve"> la proposition de règlement du Parlement européen et du Conseil relatif à la non-application des droits de douane aux importations de certaines marchandises</w:t>
      </w:r>
      <w:bookmarkEnd w:id="5"/>
      <w:r w:rsidR="007C6EBB" w:rsidRPr="008C3CD8">
        <w:t xml:space="preserve"> </w:t>
      </w:r>
      <w:bookmarkStart w:id="6" w:name="References"/>
      <w:r w:rsidR="007C6EBB" w:rsidRPr="008C3CD8">
        <w:t>(COM(2025)0472 – C10-0192/2025 – 2025/0260(COD))</w:t>
      </w:r>
      <w:bookmarkEnd w:id="6"/>
      <w:r>
        <w:rPr>
          <w:rStyle w:val="FootnoteReference"/>
        </w:rPr>
        <w:footnoteReference w:id="1"/>
      </w:r>
    </w:p>
    <w:p w14:paraId="2DC495B1" w14:textId="77777777" w:rsidR="004D1EC1" w:rsidRPr="008C3CD8" w:rsidRDefault="004D1EC1" w:rsidP="004D1EC1">
      <w:pPr>
        <w:pStyle w:val="NormalBold"/>
      </w:pPr>
      <w:r w:rsidRPr="008C3CD8">
        <w:t>(Procédure législative ordinaire: première lecture)</w:t>
      </w:r>
    </w:p>
    <w:p w14:paraId="623748FF" w14:textId="77777777" w:rsidR="004D1EC1" w:rsidRPr="008C3CD8" w:rsidRDefault="004D1EC1" w:rsidP="004D1EC1">
      <w:pPr>
        <w:widowControl/>
      </w:pPr>
      <w:r w:rsidRPr="008C3CD8">
        <w:br w:type="page"/>
      </w:r>
    </w:p>
    <w:p w14:paraId="7DF848BB" w14:textId="77777777" w:rsidR="004D1EC1" w:rsidRPr="008C3CD8" w:rsidRDefault="004D1EC1" w:rsidP="004D1EC1">
      <w:r w:rsidRPr="008C3CD8">
        <w:rPr>
          <w:rStyle w:val="HideTWBExt"/>
        </w:rPr>
        <w:lastRenderedPageBreak/>
        <w:t>&lt;RepeatBlock-Amend&gt;</w:t>
      </w:r>
    </w:p>
    <w:p w14:paraId="390B35EE" w14:textId="77777777" w:rsidR="004D1EC1" w:rsidRPr="008C3CD8" w:rsidRDefault="004D1EC1" w:rsidP="004D1EC1">
      <w:pPr>
        <w:pStyle w:val="AmNumberTabs"/>
      </w:pPr>
      <w:r w:rsidRPr="008C3CD8">
        <w:rPr>
          <w:rStyle w:val="HideTWBExt"/>
          <w:b w:val="0"/>
        </w:rPr>
        <w:t>&lt;Amend&gt;</w:t>
      </w:r>
      <w:r w:rsidRPr="008C3CD8">
        <w:t>Amendement</w:t>
      </w:r>
      <w:r w:rsidRPr="008C3CD8">
        <w:tab/>
      </w:r>
      <w:r w:rsidRPr="008C3CD8">
        <w:tab/>
      </w:r>
      <w:r w:rsidRPr="008C3CD8">
        <w:rPr>
          <w:rStyle w:val="HideTWBExt"/>
          <w:b w:val="0"/>
        </w:rPr>
        <w:t>&lt;NumAm&gt;</w:t>
      </w:r>
      <w:r w:rsidRPr="008C3CD8">
        <w:t>1</w:t>
      </w:r>
      <w:r w:rsidRPr="008C3CD8">
        <w:rPr>
          <w:rStyle w:val="HideTWBExt"/>
          <w:b w:val="0"/>
        </w:rPr>
        <w:t>&lt;/NumAm&gt;</w:t>
      </w:r>
    </w:p>
    <w:p w14:paraId="7E20B902"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&lt;/DocAmend&gt;</w:t>
      </w:r>
    </w:p>
    <w:p w14:paraId="486681DB" w14:textId="77777777" w:rsidR="004D1EC1" w:rsidRPr="008C3CD8" w:rsidRDefault="004D1EC1" w:rsidP="004D1EC1">
      <w:pPr>
        <w:pStyle w:val="NormalBold"/>
      </w:pPr>
      <w:r w:rsidRPr="008C3CD8">
        <w:rPr>
          <w:rStyle w:val="HideTWBExt"/>
          <w:b w:val="0"/>
        </w:rPr>
        <w:t>&lt;Article&gt;</w:t>
      </w:r>
      <w:r w:rsidRPr="008C3CD8">
        <w:t>Considérant 2</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048E9C98" w14:textId="77777777" w:rsidTr="00B309B3">
        <w:trPr>
          <w:trHeight w:hRule="exact" w:val="240"/>
          <w:jc w:val="center"/>
        </w:trPr>
        <w:tc>
          <w:tcPr>
            <w:tcW w:w="9752" w:type="dxa"/>
            <w:gridSpan w:val="2"/>
            <w:tcBorders>
              <w:top w:val="nil"/>
              <w:left w:val="nil"/>
              <w:bottom w:val="nil"/>
              <w:right w:val="nil"/>
            </w:tcBorders>
          </w:tcPr>
          <w:p w14:paraId="1F90796A" w14:textId="77777777" w:rsidR="004D1EC1" w:rsidRPr="008C3CD8" w:rsidRDefault="004D1EC1" w:rsidP="00B309B3"/>
        </w:tc>
      </w:tr>
      <w:tr w:rsidR="004D1EC1" w:rsidRPr="008C3CD8" w14:paraId="2E4C722C" w14:textId="77777777" w:rsidTr="00B309B3">
        <w:trPr>
          <w:trHeight w:val="240"/>
          <w:jc w:val="center"/>
        </w:trPr>
        <w:tc>
          <w:tcPr>
            <w:tcW w:w="4876" w:type="dxa"/>
            <w:tcBorders>
              <w:top w:val="nil"/>
              <w:left w:val="nil"/>
              <w:bottom w:val="nil"/>
              <w:right w:val="nil"/>
            </w:tcBorders>
          </w:tcPr>
          <w:p w14:paraId="6E1A38D3"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7F02ED09" w14:textId="77777777" w:rsidR="004D1EC1" w:rsidRPr="008C3CD8" w:rsidRDefault="004D1EC1" w:rsidP="00B309B3">
            <w:pPr>
              <w:pStyle w:val="AmColumnHeading"/>
            </w:pPr>
            <w:r w:rsidRPr="008C3CD8">
              <w:t>Amendement</w:t>
            </w:r>
          </w:p>
        </w:tc>
      </w:tr>
      <w:tr w:rsidR="004D1EC1" w:rsidRPr="008C3CD8" w14:paraId="5DEA290B" w14:textId="77777777" w:rsidTr="00B309B3">
        <w:trPr>
          <w:jc w:val="center"/>
        </w:trPr>
        <w:tc>
          <w:tcPr>
            <w:tcW w:w="4876" w:type="dxa"/>
            <w:tcBorders>
              <w:top w:val="nil"/>
              <w:left w:val="nil"/>
              <w:bottom w:val="nil"/>
              <w:right w:val="nil"/>
            </w:tcBorders>
          </w:tcPr>
          <w:p w14:paraId="45C4DE39" w14:textId="77777777" w:rsidR="004D1EC1" w:rsidRPr="008C3CD8" w:rsidRDefault="004D1EC1" w:rsidP="00B309B3">
            <w:pPr>
              <w:pStyle w:val="Normal6a"/>
            </w:pPr>
            <w:r w:rsidRPr="008C3CD8">
              <w:t>(2)</w:t>
            </w:r>
            <w:r w:rsidRPr="008C3CD8">
              <w:tab/>
              <w:t xml:space="preserve">Afin d’éviter toute perturbation et de continuer à améliorer les relations en matière de commerce et d’investissement avec les États-Unis, l’Union </w:t>
            </w:r>
            <w:r w:rsidRPr="008C3CD8">
              <w:rPr>
                <w:b/>
                <w:i/>
              </w:rPr>
              <w:t>européenne</w:t>
            </w:r>
            <w:r w:rsidRPr="008C3CD8">
              <w:t xml:space="preserve"> a adopté, le 16 décembre 2020, le règlement (UE) 2020/2131 du Parlement européen et du Conseil</w:t>
            </w:r>
            <w:r w:rsidRPr="008C3CD8">
              <w:rPr>
                <w:vertAlign w:val="superscript"/>
              </w:rPr>
              <w:t>1</w:t>
            </w:r>
            <w:r w:rsidRPr="008C3CD8">
              <w:t xml:space="preserve"> relatif à l’élimination des droits de douane </w:t>
            </w:r>
            <w:r w:rsidRPr="008C3CD8">
              <w:rPr>
                <w:b/>
                <w:i/>
              </w:rPr>
              <w:t>sur certaines</w:t>
            </w:r>
            <w:r w:rsidRPr="008C3CD8">
              <w:t xml:space="preserve"> marchandises, </w:t>
            </w:r>
            <w:r w:rsidRPr="008C3CD8">
              <w:rPr>
                <w:b/>
                <w:i/>
              </w:rPr>
              <w:t>en particulier certains types</w:t>
            </w:r>
            <w:r w:rsidRPr="008C3CD8">
              <w:t xml:space="preserve"> de </w:t>
            </w:r>
            <w:r w:rsidRPr="008C3CD8">
              <w:rPr>
                <w:b/>
                <w:i/>
              </w:rPr>
              <w:t>homard</w:t>
            </w:r>
            <w:r w:rsidRPr="008C3CD8">
              <w:t xml:space="preserve"> et </w:t>
            </w:r>
            <w:r w:rsidRPr="008C3CD8">
              <w:rPr>
                <w:b/>
                <w:i/>
              </w:rPr>
              <w:t>de langouste, applicable à partir</w:t>
            </w:r>
            <w:r w:rsidRPr="008C3CD8">
              <w:t xml:space="preserve"> du 1</w:t>
            </w:r>
            <w:r w:rsidRPr="008C3CD8">
              <w:rPr>
                <w:vertAlign w:val="superscript"/>
              </w:rPr>
              <w:t>er</w:t>
            </w:r>
            <w:r w:rsidRPr="008C3CD8">
              <w:t> août 2020</w:t>
            </w:r>
            <w:r w:rsidRPr="008C3CD8">
              <w:rPr>
                <w:b/>
                <w:i/>
              </w:rPr>
              <w:t>. Ledit règlement a expiré le</w:t>
            </w:r>
            <w:r w:rsidRPr="008C3CD8">
              <w:t xml:space="preserve"> 31 juillet 2025.</w:t>
            </w:r>
          </w:p>
        </w:tc>
        <w:tc>
          <w:tcPr>
            <w:tcW w:w="4876" w:type="dxa"/>
            <w:tcBorders>
              <w:top w:val="nil"/>
              <w:left w:val="nil"/>
              <w:bottom w:val="nil"/>
              <w:right w:val="nil"/>
            </w:tcBorders>
          </w:tcPr>
          <w:p w14:paraId="2C8DFB30" w14:textId="77777777" w:rsidR="004D1EC1" w:rsidRPr="008C3CD8" w:rsidRDefault="004D1EC1" w:rsidP="00B309B3">
            <w:pPr>
              <w:pStyle w:val="Normal6a"/>
            </w:pPr>
            <w:r w:rsidRPr="008C3CD8">
              <w:t>(2)</w:t>
            </w:r>
            <w:r w:rsidRPr="008C3CD8">
              <w:tab/>
              <w:t xml:space="preserve">Afin d’éviter toute perturbation et de continuer à améliorer les relations en matière de commerce et d’investissement avec les États-Unis, l’Union </w:t>
            </w:r>
            <w:r w:rsidRPr="008C3CD8">
              <w:rPr>
                <w:b/>
                <w:i/>
              </w:rPr>
              <w:t>et les États-Unis ont approuvé la déclaration conjointe sur un accord tarifaire, annoncée le 21 août 2020, conformément à laquelle l’Union s’est engagée à supprimer les droits de douane sur les importations de produits à base de langoustes et de homards vivants et congelés en provenant des États-Unis, et les États-Unis se sont engagés, en contrepartie, à réduire de 50 % leurs tarifs douaniers sur certains produits exportés par l’Union pour une valeur commerciale annuelle moyenne de 160 millions de dollars, y compris certains plats cuisinés, certains objets en cristal, les préparations de surface, les poudres propulsives, les briquets et les parties de briquets. Afin de mettre en œuvre la déclaration conjointe, l’Union</w:t>
            </w:r>
            <w:r w:rsidRPr="008C3CD8">
              <w:t xml:space="preserve"> a adopté, le 16 décembre 2020, le règlement (UE) 2020/2131 du Parlement européen et du Conseil</w:t>
            </w:r>
            <w:r w:rsidRPr="008C3CD8">
              <w:rPr>
                <w:vertAlign w:val="superscript"/>
              </w:rPr>
              <w:t>1</w:t>
            </w:r>
            <w:r w:rsidRPr="008C3CD8">
              <w:t xml:space="preserve"> relatif à l’élimination des droits de douane</w:t>
            </w:r>
            <w:r w:rsidRPr="008C3CD8">
              <w:rPr>
                <w:b/>
                <w:i/>
              </w:rPr>
              <w:t xml:space="preserve">, applicable, erga </w:t>
            </w:r>
            <w:proofErr w:type="spellStart"/>
            <w:r w:rsidRPr="008C3CD8">
              <w:rPr>
                <w:b/>
                <w:i/>
              </w:rPr>
              <w:t>omnes</w:t>
            </w:r>
            <w:proofErr w:type="spellEnd"/>
            <w:r w:rsidRPr="008C3CD8">
              <w:rPr>
                <w:b/>
                <w:i/>
              </w:rPr>
              <w:t>, à un nombre limité de</w:t>
            </w:r>
            <w:r w:rsidRPr="008C3CD8">
              <w:t xml:space="preserve"> marchandises, </w:t>
            </w:r>
            <w:r w:rsidRPr="008C3CD8">
              <w:rPr>
                <w:b/>
                <w:i/>
              </w:rPr>
              <w:t>y compris les produits</w:t>
            </w:r>
            <w:r w:rsidRPr="008C3CD8">
              <w:t xml:space="preserve"> de </w:t>
            </w:r>
            <w:r w:rsidRPr="008C3CD8">
              <w:rPr>
                <w:b/>
                <w:i/>
              </w:rPr>
              <w:t>homards</w:t>
            </w:r>
            <w:r w:rsidRPr="008C3CD8">
              <w:t xml:space="preserve"> et </w:t>
            </w:r>
            <w:r w:rsidRPr="008C3CD8">
              <w:rPr>
                <w:b/>
                <w:i/>
              </w:rPr>
              <w:t>langoustes vivants et congelés en provenance des États-Unis</w:t>
            </w:r>
            <w:r w:rsidRPr="008C3CD8">
              <w:t xml:space="preserve"> du 1</w:t>
            </w:r>
            <w:r w:rsidRPr="008C3CD8">
              <w:rPr>
                <w:vertAlign w:val="superscript"/>
              </w:rPr>
              <w:t>er</w:t>
            </w:r>
            <w:r w:rsidRPr="008C3CD8">
              <w:t xml:space="preserve"> août 2020 </w:t>
            </w:r>
            <w:r w:rsidRPr="008C3CD8">
              <w:rPr>
                <w:b/>
                <w:i/>
              </w:rPr>
              <w:t>au</w:t>
            </w:r>
            <w:r w:rsidRPr="008C3CD8">
              <w:t xml:space="preserve"> 31 juillet 2025.</w:t>
            </w:r>
          </w:p>
        </w:tc>
      </w:tr>
      <w:tr w:rsidR="004D1EC1" w:rsidRPr="008C3CD8" w14:paraId="0F3CC86E" w14:textId="77777777" w:rsidTr="00B309B3">
        <w:trPr>
          <w:jc w:val="center"/>
        </w:trPr>
        <w:tc>
          <w:tcPr>
            <w:tcW w:w="4876" w:type="dxa"/>
            <w:tcBorders>
              <w:top w:val="nil"/>
              <w:left w:val="nil"/>
              <w:bottom w:val="nil"/>
              <w:right w:val="nil"/>
            </w:tcBorders>
          </w:tcPr>
          <w:p w14:paraId="7B356535" w14:textId="77777777" w:rsidR="004D1EC1" w:rsidRPr="008C3CD8" w:rsidRDefault="004D1EC1" w:rsidP="00B309B3">
            <w:pPr>
              <w:pStyle w:val="Normal6a"/>
            </w:pPr>
            <w:r w:rsidRPr="008C3CD8">
              <w:rPr>
                <w:b/>
                <w:i/>
              </w:rPr>
              <w:t>_________________</w:t>
            </w:r>
          </w:p>
        </w:tc>
        <w:tc>
          <w:tcPr>
            <w:tcW w:w="4876" w:type="dxa"/>
            <w:tcBorders>
              <w:top w:val="nil"/>
              <w:left w:val="nil"/>
              <w:bottom w:val="nil"/>
              <w:right w:val="nil"/>
            </w:tcBorders>
          </w:tcPr>
          <w:p w14:paraId="4A7896C4" w14:textId="77777777" w:rsidR="004D1EC1" w:rsidRPr="008C3CD8" w:rsidRDefault="004D1EC1" w:rsidP="00B309B3">
            <w:pPr>
              <w:pStyle w:val="Normal6a"/>
            </w:pPr>
            <w:r w:rsidRPr="008C3CD8">
              <w:rPr>
                <w:b/>
                <w:i/>
              </w:rPr>
              <w:t>_________________</w:t>
            </w:r>
          </w:p>
        </w:tc>
      </w:tr>
      <w:tr w:rsidR="004D1EC1" w:rsidRPr="008C3CD8" w14:paraId="709715DB" w14:textId="77777777" w:rsidTr="00B309B3">
        <w:trPr>
          <w:jc w:val="center"/>
        </w:trPr>
        <w:tc>
          <w:tcPr>
            <w:tcW w:w="4876" w:type="dxa"/>
            <w:tcBorders>
              <w:top w:val="nil"/>
              <w:left w:val="nil"/>
              <w:bottom w:val="nil"/>
              <w:right w:val="nil"/>
            </w:tcBorders>
          </w:tcPr>
          <w:p w14:paraId="29E1D4AA" w14:textId="77777777" w:rsidR="004D1EC1" w:rsidRPr="008C3CD8" w:rsidRDefault="004D1EC1" w:rsidP="00B309B3">
            <w:pPr>
              <w:pStyle w:val="Normal6a"/>
            </w:pPr>
            <w:r w:rsidRPr="008C3CD8">
              <w:rPr>
                <w:vertAlign w:val="superscript"/>
              </w:rPr>
              <w:t>1</w:t>
            </w:r>
            <w:r w:rsidRPr="008C3CD8">
              <w:t xml:space="preserve"> Règlement (UE) 2020/2131 du Parlement européen et du Conseil du 16 décembre 2020 relatif à l’élimination des droits de douane sur certaines marchandises (JO L 430 du 18.12.2020, p. 1, ELI: http://data.europa.eu/eli/reg/2020/2131/oj).</w:t>
            </w:r>
          </w:p>
        </w:tc>
        <w:tc>
          <w:tcPr>
            <w:tcW w:w="4876" w:type="dxa"/>
            <w:tcBorders>
              <w:top w:val="nil"/>
              <w:left w:val="nil"/>
              <w:bottom w:val="nil"/>
              <w:right w:val="nil"/>
            </w:tcBorders>
          </w:tcPr>
          <w:p w14:paraId="57A85A25" w14:textId="77777777" w:rsidR="004D1EC1" w:rsidRPr="008C3CD8" w:rsidRDefault="004D1EC1" w:rsidP="00B309B3">
            <w:pPr>
              <w:pStyle w:val="Normal6a"/>
            </w:pPr>
            <w:r w:rsidRPr="008C3CD8">
              <w:rPr>
                <w:vertAlign w:val="superscript"/>
              </w:rPr>
              <w:t>1</w:t>
            </w:r>
            <w:r w:rsidRPr="008C3CD8">
              <w:t xml:space="preserve"> Règlement (UE) 2020/2131 du Parlement européen et du Conseil du 16 décembre 2020 relatif à l’élimination des droits de douane sur certaines marchandises (JO L 430 du 18.12.2020, p. 1, ELI: http://data.europa.eu/eli/reg/2020/2131/oj).</w:t>
            </w:r>
          </w:p>
        </w:tc>
      </w:tr>
    </w:tbl>
    <w:p w14:paraId="6F2E5948" w14:textId="77777777" w:rsidR="004D1EC1" w:rsidRPr="0077135F" w:rsidRDefault="004D1EC1" w:rsidP="004D1EC1">
      <w:pPr>
        <w:rPr>
          <w:lang w:val="de-DE"/>
        </w:rPr>
      </w:pPr>
      <w:r w:rsidRPr="0077135F">
        <w:rPr>
          <w:rStyle w:val="HideTWBExt"/>
          <w:lang w:val="de-DE"/>
        </w:rPr>
        <w:t>&lt;/Amend&gt;</w:t>
      </w:r>
    </w:p>
    <w:p w14:paraId="6024208E"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2</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6501DC19" w14:textId="77777777" w:rsidR="004D1EC1" w:rsidRPr="008C3CD8" w:rsidRDefault="004D1EC1" w:rsidP="004D1EC1">
      <w:pPr>
        <w:pStyle w:val="NormalBold"/>
      </w:pPr>
      <w:r w:rsidRPr="008C3CD8">
        <w:rPr>
          <w:rStyle w:val="HideTWBExt"/>
          <w:b w:val="0"/>
        </w:rPr>
        <w:lastRenderedPageBreak/>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1365963C" w14:textId="77777777" w:rsidR="004D1EC1" w:rsidRPr="008C3CD8" w:rsidRDefault="004D1EC1" w:rsidP="004D1EC1">
      <w:pPr>
        <w:pStyle w:val="NormalBold"/>
      </w:pPr>
      <w:r w:rsidRPr="008C3CD8">
        <w:rPr>
          <w:rStyle w:val="HideTWBExt"/>
          <w:b w:val="0"/>
        </w:rPr>
        <w:t>&lt;Article&gt;</w:t>
      </w:r>
      <w:r w:rsidRPr="008C3CD8">
        <w:t>Considérant 4</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4D49B2EA" w14:textId="77777777" w:rsidTr="00B309B3">
        <w:trPr>
          <w:trHeight w:hRule="exact" w:val="240"/>
          <w:jc w:val="center"/>
        </w:trPr>
        <w:tc>
          <w:tcPr>
            <w:tcW w:w="9752" w:type="dxa"/>
            <w:gridSpan w:val="2"/>
            <w:tcBorders>
              <w:top w:val="nil"/>
              <w:left w:val="nil"/>
              <w:bottom w:val="nil"/>
              <w:right w:val="nil"/>
            </w:tcBorders>
          </w:tcPr>
          <w:p w14:paraId="3B412588" w14:textId="77777777" w:rsidR="004D1EC1" w:rsidRPr="008C3CD8" w:rsidRDefault="004D1EC1" w:rsidP="00B309B3"/>
        </w:tc>
      </w:tr>
      <w:tr w:rsidR="004D1EC1" w:rsidRPr="008C3CD8" w14:paraId="78A3B2E0" w14:textId="77777777" w:rsidTr="00B309B3">
        <w:trPr>
          <w:trHeight w:val="240"/>
          <w:jc w:val="center"/>
        </w:trPr>
        <w:tc>
          <w:tcPr>
            <w:tcW w:w="4876" w:type="dxa"/>
            <w:tcBorders>
              <w:top w:val="nil"/>
              <w:left w:val="nil"/>
              <w:bottom w:val="nil"/>
              <w:right w:val="nil"/>
            </w:tcBorders>
          </w:tcPr>
          <w:p w14:paraId="1F61930D"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7D531D9B" w14:textId="77777777" w:rsidR="004D1EC1" w:rsidRPr="008C3CD8" w:rsidRDefault="004D1EC1" w:rsidP="00B309B3">
            <w:pPr>
              <w:pStyle w:val="AmColumnHeading"/>
            </w:pPr>
            <w:r w:rsidRPr="008C3CD8">
              <w:t>Amendement</w:t>
            </w:r>
          </w:p>
        </w:tc>
      </w:tr>
      <w:tr w:rsidR="004D1EC1" w:rsidRPr="008C3CD8" w14:paraId="7D3321E7" w14:textId="77777777" w:rsidTr="00B309B3">
        <w:trPr>
          <w:jc w:val="center"/>
        </w:trPr>
        <w:tc>
          <w:tcPr>
            <w:tcW w:w="4876" w:type="dxa"/>
            <w:tcBorders>
              <w:top w:val="nil"/>
              <w:left w:val="nil"/>
              <w:bottom w:val="nil"/>
              <w:right w:val="nil"/>
            </w:tcBorders>
          </w:tcPr>
          <w:p w14:paraId="3B12270C" w14:textId="77777777" w:rsidR="004D1EC1" w:rsidRPr="008C3CD8" w:rsidRDefault="004D1EC1" w:rsidP="00B309B3">
            <w:pPr>
              <w:pStyle w:val="Normal6a"/>
            </w:pPr>
            <w:r w:rsidRPr="008C3CD8">
              <w:t>(4)</w:t>
            </w:r>
            <w:r w:rsidRPr="008C3CD8">
              <w:tab/>
              <w:t xml:space="preserve">En conséquence, les droits de douane sur les importations des marchandises classées sous les codes NC énumérés à l’annexe devraient s’appliquer à </w:t>
            </w:r>
            <w:r w:rsidRPr="008C3CD8">
              <w:rPr>
                <w:b/>
                <w:i/>
              </w:rPr>
              <w:t>un niveau de 0 % tant que les États-Unis mettent effectivement en œuvre la déclaration conjointe</w:t>
            </w:r>
            <w:r w:rsidRPr="008C3CD8">
              <w:t>.</w:t>
            </w:r>
          </w:p>
        </w:tc>
        <w:tc>
          <w:tcPr>
            <w:tcW w:w="4876" w:type="dxa"/>
            <w:tcBorders>
              <w:top w:val="nil"/>
              <w:left w:val="nil"/>
              <w:bottom w:val="nil"/>
              <w:right w:val="nil"/>
            </w:tcBorders>
          </w:tcPr>
          <w:p w14:paraId="4270D1F3" w14:textId="77777777" w:rsidR="004D1EC1" w:rsidRPr="008C3CD8" w:rsidRDefault="004D1EC1" w:rsidP="00B309B3">
            <w:pPr>
              <w:pStyle w:val="Normal6a"/>
            </w:pPr>
            <w:r w:rsidRPr="008C3CD8">
              <w:t>(4)</w:t>
            </w:r>
            <w:r w:rsidRPr="008C3CD8">
              <w:tab/>
              <w:t xml:space="preserve">En conséquence, </w:t>
            </w:r>
            <w:r w:rsidRPr="008C3CD8">
              <w:rPr>
                <w:b/>
                <w:i/>
              </w:rPr>
              <w:t>pour éviter</w:t>
            </w:r>
            <w:r w:rsidRPr="008C3CD8">
              <w:t xml:space="preserve"> les </w:t>
            </w:r>
            <w:r w:rsidRPr="008C3CD8">
              <w:rPr>
                <w:b/>
                <w:i/>
              </w:rPr>
              <w:t>perturbations des échanges, la suspension des</w:t>
            </w:r>
            <w:r w:rsidRPr="008C3CD8">
              <w:t xml:space="preserve"> droits de douane sur les importations des marchandises classées sous les codes NC énumérés à l’annexe devraient s’appliquer </w:t>
            </w:r>
            <w:r w:rsidRPr="008C3CD8">
              <w:rPr>
                <w:b/>
                <w:i/>
              </w:rPr>
              <w:t>rétroactivement</w:t>
            </w:r>
            <w:r w:rsidRPr="008C3CD8">
              <w:t xml:space="preserve"> à </w:t>
            </w:r>
            <w:r w:rsidRPr="008C3CD8">
              <w:rPr>
                <w:b/>
                <w:i/>
              </w:rPr>
              <w:t>partir du 1</w:t>
            </w:r>
            <w:r w:rsidRPr="008C3CD8">
              <w:rPr>
                <w:b/>
                <w:i/>
                <w:vertAlign w:val="superscript"/>
              </w:rPr>
              <w:t>er</w:t>
            </w:r>
            <w:r w:rsidRPr="008C3CD8">
              <w:rPr>
                <w:b/>
                <w:i/>
              </w:rPr>
              <w:t> août 2025 jusqu’au 31 décembre 2028</w:t>
            </w:r>
            <w:r w:rsidRPr="008C3CD8">
              <w:t>.</w:t>
            </w:r>
          </w:p>
        </w:tc>
      </w:tr>
    </w:tbl>
    <w:p w14:paraId="2DA897D3" w14:textId="77777777" w:rsidR="004D1EC1" w:rsidRPr="0077135F" w:rsidRDefault="004D1EC1" w:rsidP="004D1EC1">
      <w:pPr>
        <w:rPr>
          <w:lang w:val="de-DE"/>
        </w:rPr>
      </w:pPr>
      <w:r w:rsidRPr="0077135F">
        <w:rPr>
          <w:rStyle w:val="HideTWBExt"/>
          <w:lang w:val="de-DE"/>
        </w:rPr>
        <w:t>&lt;/Amend&gt;</w:t>
      </w:r>
    </w:p>
    <w:p w14:paraId="37D54BB3"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3</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0CC5E7E6"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1F5E1C2D" w14:textId="77777777" w:rsidR="004D1EC1" w:rsidRPr="008C3CD8" w:rsidRDefault="004D1EC1" w:rsidP="004D1EC1">
      <w:pPr>
        <w:pStyle w:val="NormalBold"/>
      </w:pPr>
      <w:r w:rsidRPr="008C3CD8">
        <w:rPr>
          <w:rStyle w:val="HideTWBExt"/>
          <w:b w:val="0"/>
        </w:rPr>
        <w:t>&lt;Article&gt;</w:t>
      </w:r>
      <w:r w:rsidRPr="008C3CD8">
        <w:t>Considérant 4 bis (nouveau)</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577DAC30" w14:textId="77777777" w:rsidTr="00B309B3">
        <w:trPr>
          <w:trHeight w:hRule="exact" w:val="240"/>
          <w:jc w:val="center"/>
        </w:trPr>
        <w:tc>
          <w:tcPr>
            <w:tcW w:w="9752" w:type="dxa"/>
            <w:gridSpan w:val="2"/>
            <w:tcBorders>
              <w:top w:val="nil"/>
              <w:left w:val="nil"/>
              <w:bottom w:val="nil"/>
              <w:right w:val="nil"/>
            </w:tcBorders>
          </w:tcPr>
          <w:p w14:paraId="786BB7F8" w14:textId="77777777" w:rsidR="004D1EC1" w:rsidRPr="008C3CD8" w:rsidRDefault="004D1EC1" w:rsidP="00B309B3"/>
        </w:tc>
      </w:tr>
      <w:tr w:rsidR="004D1EC1" w:rsidRPr="008C3CD8" w14:paraId="201C12A2" w14:textId="77777777" w:rsidTr="00B309B3">
        <w:trPr>
          <w:trHeight w:val="240"/>
          <w:jc w:val="center"/>
        </w:trPr>
        <w:tc>
          <w:tcPr>
            <w:tcW w:w="4876" w:type="dxa"/>
            <w:tcBorders>
              <w:top w:val="nil"/>
              <w:left w:val="nil"/>
              <w:bottom w:val="nil"/>
              <w:right w:val="nil"/>
            </w:tcBorders>
          </w:tcPr>
          <w:p w14:paraId="0B439A76"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3B895F5C" w14:textId="77777777" w:rsidR="004D1EC1" w:rsidRPr="008C3CD8" w:rsidRDefault="004D1EC1" w:rsidP="00B309B3">
            <w:pPr>
              <w:pStyle w:val="AmColumnHeading"/>
            </w:pPr>
            <w:r w:rsidRPr="008C3CD8">
              <w:t>Amendement</w:t>
            </w:r>
          </w:p>
        </w:tc>
      </w:tr>
      <w:tr w:rsidR="004D1EC1" w:rsidRPr="008C3CD8" w14:paraId="41BD3DDC" w14:textId="77777777" w:rsidTr="00B309B3">
        <w:trPr>
          <w:jc w:val="center"/>
        </w:trPr>
        <w:tc>
          <w:tcPr>
            <w:tcW w:w="4876" w:type="dxa"/>
            <w:tcBorders>
              <w:top w:val="nil"/>
              <w:left w:val="nil"/>
              <w:bottom w:val="nil"/>
              <w:right w:val="nil"/>
            </w:tcBorders>
          </w:tcPr>
          <w:p w14:paraId="70038BE4" w14:textId="77777777" w:rsidR="004D1EC1" w:rsidRPr="008C3CD8" w:rsidRDefault="004D1EC1" w:rsidP="00B309B3">
            <w:pPr>
              <w:pStyle w:val="Normal6a"/>
            </w:pPr>
          </w:p>
        </w:tc>
        <w:tc>
          <w:tcPr>
            <w:tcW w:w="4876" w:type="dxa"/>
            <w:tcBorders>
              <w:top w:val="nil"/>
              <w:left w:val="nil"/>
              <w:bottom w:val="nil"/>
              <w:right w:val="nil"/>
            </w:tcBorders>
          </w:tcPr>
          <w:p w14:paraId="531AAF20" w14:textId="77777777" w:rsidR="004D1EC1" w:rsidRPr="008C3CD8" w:rsidRDefault="004D1EC1" w:rsidP="00B309B3">
            <w:pPr>
              <w:pStyle w:val="Normal6a"/>
            </w:pPr>
            <w:r w:rsidRPr="008C3CD8">
              <w:rPr>
                <w:b/>
                <w:i/>
              </w:rPr>
              <w:t>(4 bis)</w:t>
            </w:r>
            <w:r w:rsidRPr="008C3CD8">
              <w:tab/>
            </w:r>
            <w:r w:rsidRPr="008C3CD8">
              <w:rPr>
                <w:b/>
                <w:i/>
              </w:rPr>
              <w:t>Les autorités douanières des États membres devraient veiller à ce que les produits qui bénéficient de droits de douane de 0 % proviennent effectivement des États-Unis et ne font pas l’objet d’une réexportation ou d’un transfert via des pays tiers, afin d’éviter tout contournement des dispositions tarifaires.</w:t>
            </w:r>
          </w:p>
        </w:tc>
      </w:tr>
    </w:tbl>
    <w:p w14:paraId="13FAF598" w14:textId="77777777" w:rsidR="004D1EC1" w:rsidRPr="0077135F" w:rsidRDefault="004D1EC1" w:rsidP="004D1EC1">
      <w:pPr>
        <w:rPr>
          <w:lang w:val="de-DE"/>
        </w:rPr>
      </w:pPr>
      <w:r w:rsidRPr="0077135F">
        <w:rPr>
          <w:rStyle w:val="HideTWBExt"/>
          <w:lang w:val="de-DE"/>
        </w:rPr>
        <w:t>&lt;/Amend&gt;</w:t>
      </w:r>
    </w:p>
    <w:p w14:paraId="1DAC8570"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4</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7E87DC85"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3D23DB6B" w14:textId="77777777" w:rsidR="004D1EC1" w:rsidRPr="008C3CD8" w:rsidRDefault="004D1EC1" w:rsidP="004D1EC1">
      <w:pPr>
        <w:pStyle w:val="NormalBold"/>
      </w:pPr>
      <w:r w:rsidRPr="008C3CD8">
        <w:rPr>
          <w:rStyle w:val="HideTWBExt"/>
          <w:b w:val="0"/>
        </w:rPr>
        <w:t>&lt;Article&gt;</w:t>
      </w:r>
      <w:r w:rsidRPr="008C3CD8">
        <w:t>Considérant 5</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1CDA26DC" w14:textId="77777777" w:rsidTr="00B309B3">
        <w:trPr>
          <w:trHeight w:hRule="exact" w:val="240"/>
          <w:jc w:val="center"/>
        </w:trPr>
        <w:tc>
          <w:tcPr>
            <w:tcW w:w="9752" w:type="dxa"/>
            <w:gridSpan w:val="2"/>
            <w:tcBorders>
              <w:top w:val="nil"/>
              <w:left w:val="nil"/>
              <w:bottom w:val="nil"/>
              <w:right w:val="nil"/>
            </w:tcBorders>
          </w:tcPr>
          <w:p w14:paraId="23A57083" w14:textId="77777777" w:rsidR="004D1EC1" w:rsidRPr="008C3CD8" w:rsidRDefault="004D1EC1" w:rsidP="00B309B3"/>
        </w:tc>
      </w:tr>
      <w:tr w:rsidR="004D1EC1" w:rsidRPr="008C3CD8" w14:paraId="02D8E862" w14:textId="77777777" w:rsidTr="00B309B3">
        <w:trPr>
          <w:trHeight w:val="240"/>
          <w:jc w:val="center"/>
        </w:trPr>
        <w:tc>
          <w:tcPr>
            <w:tcW w:w="4876" w:type="dxa"/>
            <w:tcBorders>
              <w:top w:val="nil"/>
              <w:left w:val="nil"/>
              <w:bottom w:val="nil"/>
              <w:right w:val="nil"/>
            </w:tcBorders>
          </w:tcPr>
          <w:p w14:paraId="78119485"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557BA0E9" w14:textId="77777777" w:rsidR="004D1EC1" w:rsidRPr="008C3CD8" w:rsidRDefault="004D1EC1" w:rsidP="00B309B3">
            <w:pPr>
              <w:pStyle w:val="AmColumnHeading"/>
            </w:pPr>
            <w:r w:rsidRPr="008C3CD8">
              <w:t>Amendement</w:t>
            </w:r>
          </w:p>
        </w:tc>
      </w:tr>
      <w:tr w:rsidR="004D1EC1" w:rsidRPr="008C3CD8" w14:paraId="249EF392" w14:textId="77777777" w:rsidTr="00B309B3">
        <w:trPr>
          <w:jc w:val="center"/>
        </w:trPr>
        <w:tc>
          <w:tcPr>
            <w:tcW w:w="4876" w:type="dxa"/>
            <w:tcBorders>
              <w:top w:val="nil"/>
              <w:left w:val="nil"/>
              <w:bottom w:val="nil"/>
              <w:right w:val="nil"/>
            </w:tcBorders>
          </w:tcPr>
          <w:p w14:paraId="5657B3FE" w14:textId="77777777" w:rsidR="004D1EC1" w:rsidRPr="008C3CD8" w:rsidRDefault="004D1EC1" w:rsidP="00B309B3">
            <w:pPr>
              <w:pStyle w:val="Normal6a"/>
            </w:pPr>
            <w:r w:rsidRPr="008C3CD8">
              <w:t>(5)</w:t>
            </w:r>
            <w:r w:rsidRPr="008C3CD8">
              <w:tab/>
              <w:t xml:space="preserve">Afin </w:t>
            </w:r>
            <w:r w:rsidRPr="008C3CD8">
              <w:rPr>
                <w:b/>
                <w:i/>
              </w:rPr>
              <w:t>d’assurer des conditions uniformes d’exécution du</w:t>
            </w:r>
            <w:r w:rsidRPr="008C3CD8">
              <w:t xml:space="preserve"> présent règlement, il convient de </w:t>
            </w:r>
            <w:r w:rsidRPr="008C3CD8">
              <w:rPr>
                <w:b/>
                <w:i/>
              </w:rPr>
              <w:t>conférer</w:t>
            </w:r>
            <w:r w:rsidRPr="008C3CD8">
              <w:t xml:space="preserve"> des </w:t>
            </w:r>
            <w:r w:rsidRPr="008C3CD8">
              <w:rPr>
                <w:b/>
                <w:i/>
              </w:rPr>
              <w:t>compétences d’exécution</w:t>
            </w:r>
            <w:r w:rsidRPr="008C3CD8">
              <w:t xml:space="preserve"> à la </w:t>
            </w:r>
            <w:r w:rsidRPr="008C3CD8">
              <w:rPr>
                <w:b/>
                <w:i/>
              </w:rPr>
              <w:t>Commission afin qu’elle puisse</w:t>
            </w:r>
            <w:r w:rsidRPr="008C3CD8">
              <w:t xml:space="preserve"> suspendre </w:t>
            </w:r>
            <w:r w:rsidRPr="008C3CD8">
              <w:rPr>
                <w:b/>
                <w:i/>
              </w:rPr>
              <w:t>la non-application des droits</w:t>
            </w:r>
            <w:r w:rsidRPr="008C3CD8">
              <w:t xml:space="preserve"> de </w:t>
            </w:r>
            <w:r w:rsidRPr="008C3CD8">
              <w:rPr>
                <w:b/>
                <w:i/>
              </w:rPr>
              <w:t>douane dans des conditions particulières</w:t>
            </w:r>
            <w:r w:rsidRPr="008C3CD8">
              <w:t xml:space="preserve">. </w:t>
            </w:r>
            <w:r w:rsidRPr="008C3CD8">
              <w:rPr>
                <w:b/>
                <w:i/>
              </w:rPr>
              <w:t>Ces compétences devraient être exercées en conformité avec la procédure d’examen visée</w:t>
            </w:r>
            <w:r w:rsidRPr="008C3CD8">
              <w:t xml:space="preserve"> au </w:t>
            </w:r>
            <w:r w:rsidRPr="008C3CD8">
              <w:rPr>
                <w:b/>
                <w:i/>
              </w:rPr>
              <w:t>règlement (UE) n° 182/2011 du Parlement européen et</w:t>
            </w:r>
            <w:r w:rsidRPr="008C3CD8">
              <w:t xml:space="preserve"> du </w:t>
            </w:r>
            <w:r w:rsidRPr="008C3CD8">
              <w:rPr>
                <w:b/>
                <w:i/>
              </w:rPr>
              <w:t>Conseil</w:t>
            </w:r>
            <w:r w:rsidRPr="008C3CD8">
              <w:rPr>
                <w:b/>
                <w:i/>
                <w:vertAlign w:val="superscript"/>
              </w:rPr>
              <w:t>3</w:t>
            </w:r>
            <w:r w:rsidRPr="008C3CD8">
              <w:t>.</w:t>
            </w:r>
          </w:p>
        </w:tc>
        <w:tc>
          <w:tcPr>
            <w:tcW w:w="4876" w:type="dxa"/>
            <w:tcBorders>
              <w:top w:val="nil"/>
              <w:left w:val="nil"/>
              <w:bottom w:val="nil"/>
              <w:right w:val="nil"/>
            </w:tcBorders>
          </w:tcPr>
          <w:p w14:paraId="7DA1008C" w14:textId="77777777" w:rsidR="004D1EC1" w:rsidRPr="008C3CD8" w:rsidRDefault="004D1EC1" w:rsidP="00B309B3">
            <w:pPr>
              <w:pStyle w:val="Normal6a"/>
            </w:pPr>
            <w:r w:rsidRPr="008C3CD8">
              <w:t>(5)</w:t>
            </w:r>
            <w:r w:rsidRPr="008C3CD8">
              <w:tab/>
              <w:t xml:space="preserve">Afin </w:t>
            </w:r>
            <w:r w:rsidRPr="008C3CD8">
              <w:rPr>
                <w:b/>
                <w:i/>
              </w:rPr>
              <w:t>de suspendre en totalité ou en partie les préférences tarifaires accordées par le</w:t>
            </w:r>
            <w:r w:rsidRPr="008C3CD8">
              <w:t xml:space="preserve"> présent règlement, il convient de </w:t>
            </w:r>
            <w:r w:rsidRPr="008C3CD8">
              <w:rPr>
                <w:b/>
                <w:i/>
              </w:rPr>
              <w:t>déléguer à la Commission le pouvoir d’adopter</w:t>
            </w:r>
            <w:r w:rsidRPr="008C3CD8">
              <w:t xml:space="preserve"> des </w:t>
            </w:r>
            <w:r w:rsidRPr="008C3CD8">
              <w:rPr>
                <w:b/>
                <w:i/>
              </w:rPr>
              <w:t>actes délégués conformément</w:t>
            </w:r>
            <w:r w:rsidRPr="008C3CD8">
              <w:t xml:space="preserve"> à </w:t>
            </w:r>
            <w:r w:rsidRPr="008C3CD8">
              <w:rPr>
                <w:b/>
                <w:i/>
              </w:rPr>
              <w:t>l’article 290 du traité sur le fonctionnement de l’Union européenne en ce qui concerne</w:t>
            </w:r>
            <w:r w:rsidRPr="008C3CD8">
              <w:t xml:space="preserve"> la </w:t>
            </w:r>
            <w:r w:rsidRPr="008C3CD8">
              <w:rPr>
                <w:b/>
                <w:i/>
              </w:rPr>
              <w:t>modification de l’annexe du présent règlement afin de</w:t>
            </w:r>
            <w:r w:rsidRPr="008C3CD8">
              <w:t xml:space="preserve"> suspendre </w:t>
            </w:r>
            <w:r w:rsidRPr="008C3CD8">
              <w:rPr>
                <w:b/>
                <w:i/>
              </w:rPr>
              <w:t>en totalité ou en partie l’application</w:t>
            </w:r>
            <w:r w:rsidRPr="008C3CD8">
              <w:t xml:space="preserve"> de </w:t>
            </w:r>
            <w:r w:rsidRPr="008C3CD8">
              <w:rPr>
                <w:b/>
                <w:i/>
              </w:rPr>
              <w:t>l’article 1er du présent règlement</w:t>
            </w:r>
            <w:r w:rsidRPr="008C3CD8">
              <w:t>.</w:t>
            </w:r>
            <w:r w:rsidRPr="008C3CD8">
              <w:rPr>
                <w:b/>
                <w:i/>
              </w:rPr>
              <w:t xml:space="preserve"> Il importe particulièrement que la Commission procède aux consultations appropriées durant son travail préparatoire, y compris</w:t>
            </w:r>
            <w:r w:rsidRPr="008C3CD8">
              <w:t xml:space="preserve"> au </w:t>
            </w:r>
            <w:r w:rsidRPr="008C3CD8">
              <w:rPr>
                <w:b/>
                <w:i/>
              </w:rPr>
              <w:t xml:space="preserve">niveau </w:t>
            </w:r>
            <w:r w:rsidRPr="008C3CD8">
              <w:rPr>
                <w:b/>
                <w:i/>
              </w:rPr>
              <w:lastRenderedPageBreak/>
              <w:t>des experts, et que ces consultations soient menées conformément aux principes définis dans l’accord interinstitutionnel</w:t>
            </w:r>
            <w:r w:rsidRPr="008C3CD8">
              <w:t xml:space="preserve"> du </w:t>
            </w:r>
            <w:r w:rsidRPr="008C3CD8">
              <w:rPr>
                <w:b/>
                <w:i/>
              </w:rPr>
              <w:t>13 avril 2016 «Mieux légiférer»</w:t>
            </w:r>
            <w:r w:rsidRPr="008C3CD8">
              <w:rPr>
                <w:b/>
                <w:i/>
                <w:vertAlign w:val="superscript"/>
              </w:rPr>
              <w:t>3</w:t>
            </w:r>
            <w:r w:rsidRPr="008C3CD8">
              <w:t>.</w:t>
            </w:r>
            <w:r w:rsidRPr="008C3CD8">
              <w:rPr>
                <w:b/>
                <w:i/>
              </w:rPr>
              <w:t xml:space="preserve"> En particulier, pour assurer leur égale participation à la préparation des actes délégués, le Parlement européen</w:t>
            </w:r>
            <w:r w:rsidRPr="008C3CD8">
              <w:t xml:space="preserve"> et </w:t>
            </w:r>
            <w:r w:rsidRPr="008C3CD8">
              <w:rPr>
                <w:b/>
                <w:i/>
              </w:rPr>
              <w:t>le Conseil reçoivent tous les documents au même moment que</w:t>
            </w:r>
            <w:r w:rsidRPr="008C3CD8">
              <w:t xml:space="preserve"> les </w:t>
            </w:r>
            <w:r w:rsidRPr="008C3CD8">
              <w:rPr>
                <w:b/>
                <w:i/>
              </w:rPr>
              <w:t>experts des</w:t>
            </w:r>
            <w:r w:rsidRPr="008C3CD8">
              <w:t xml:space="preserve"> États membres</w:t>
            </w:r>
            <w:r w:rsidRPr="008C3CD8">
              <w:rPr>
                <w:b/>
                <w:i/>
              </w:rPr>
              <w:t>, et leurs experts ont systématiquement accès aux réunions</w:t>
            </w:r>
            <w:r w:rsidRPr="008C3CD8">
              <w:t xml:space="preserve"> des </w:t>
            </w:r>
            <w:r w:rsidRPr="008C3CD8">
              <w:rPr>
                <w:b/>
                <w:i/>
              </w:rPr>
              <w:t>groupes d’experts de</w:t>
            </w:r>
            <w:r w:rsidRPr="008C3CD8">
              <w:t xml:space="preserve"> la Commission </w:t>
            </w:r>
            <w:r w:rsidRPr="008C3CD8">
              <w:rPr>
                <w:b/>
                <w:i/>
              </w:rPr>
              <w:t>traitant de la préparation des actes délégués.</w:t>
            </w:r>
          </w:p>
        </w:tc>
      </w:tr>
      <w:tr w:rsidR="004D1EC1" w:rsidRPr="008C3CD8" w14:paraId="1413B888" w14:textId="77777777" w:rsidTr="00B309B3">
        <w:trPr>
          <w:jc w:val="center"/>
        </w:trPr>
        <w:tc>
          <w:tcPr>
            <w:tcW w:w="4876" w:type="dxa"/>
            <w:tcBorders>
              <w:top w:val="nil"/>
              <w:left w:val="nil"/>
              <w:bottom w:val="nil"/>
              <w:right w:val="nil"/>
            </w:tcBorders>
          </w:tcPr>
          <w:p w14:paraId="00F2F37F" w14:textId="77777777" w:rsidR="004D1EC1" w:rsidRPr="008C3CD8" w:rsidRDefault="004D1EC1" w:rsidP="00B309B3">
            <w:pPr>
              <w:pStyle w:val="Normal6a"/>
            </w:pPr>
            <w:r w:rsidRPr="008C3CD8">
              <w:rPr>
                <w:b/>
                <w:i/>
              </w:rPr>
              <w:lastRenderedPageBreak/>
              <w:t>_________________</w:t>
            </w:r>
          </w:p>
        </w:tc>
        <w:tc>
          <w:tcPr>
            <w:tcW w:w="4876" w:type="dxa"/>
            <w:tcBorders>
              <w:top w:val="nil"/>
              <w:left w:val="nil"/>
              <w:bottom w:val="nil"/>
              <w:right w:val="nil"/>
            </w:tcBorders>
          </w:tcPr>
          <w:p w14:paraId="0373FF3F" w14:textId="77777777" w:rsidR="004D1EC1" w:rsidRPr="008C3CD8" w:rsidRDefault="004D1EC1" w:rsidP="00B309B3">
            <w:pPr>
              <w:pStyle w:val="Normal6a"/>
            </w:pPr>
            <w:r w:rsidRPr="008C3CD8">
              <w:rPr>
                <w:b/>
                <w:i/>
              </w:rPr>
              <w:t>_________________</w:t>
            </w:r>
          </w:p>
        </w:tc>
      </w:tr>
      <w:tr w:rsidR="004D1EC1" w:rsidRPr="002D3F1C" w14:paraId="674605E0" w14:textId="77777777" w:rsidTr="00B309B3">
        <w:trPr>
          <w:jc w:val="center"/>
        </w:trPr>
        <w:tc>
          <w:tcPr>
            <w:tcW w:w="4876" w:type="dxa"/>
            <w:tcBorders>
              <w:top w:val="nil"/>
              <w:left w:val="nil"/>
              <w:bottom w:val="nil"/>
              <w:right w:val="nil"/>
            </w:tcBorders>
          </w:tcPr>
          <w:p w14:paraId="539AF18F" w14:textId="77777777" w:rsidR="004D1EC1" w:rsidRPr="008C3CD8" w:rsidRDefault="004D1EC1" w:rsidP="00B309B3">
            <w:pPr>
              <w:pStyle w:val="Normal6a"/>
            </w:pPr>
            <w:r w:rsidRPr="002D3F1C">
              <w:rPr>
                <w:b/>
                <w:i/>
                <w:vertAlign w:val="superscript"/>
              </w:rPr>
              <w:t>3</w:t>
            </w:r>
            <w:r w:rsidRPr="008C3CD8">
              <w:rPr>
                <w:b/>
                <w:i/>
              </w:rPr>
              <w:t xml:space="preserve"> Règlement (UE) nº 182/2011 du Parlement européen et du Conseil du 16 février 2011 établissant les règles</w:t>
            </w:r>
            <w:r w:rsidRPr="008C3CD8">
              <w:t xml:space="preserve"> et </w:t>
            </w:r>
            <w:r w:rsidRPr="008C3CD8">
              <w:rPr>
                <w:b/>
                <w:i/>
              </w:rPr>
              <w:t>principes généraux relatifs aux modalités de contrôle par</w:t>
            </w:r>
            <w:r w:rsidRPr="008C3CD8">
              <w:t xml:space="preserve"> les États membres </w:t>
            </w:r>
            <w:r w:rsidRPr="008C3CD8">
              <w:rPr>
                <w:b/>
                <w:i/>
              </w:rPr>
              <w:t>de l’exercice</w:t>
            </w:r>
            <w:r w:rsidRPr="008C3CD8">
              <w:t xml:space="preserve"> des </w:t>
            </w:r>
            <w:r w:rsidRPr="008C3CD8">
              <w:rPr>
                <w:b/>
                <w:i/>
              </w:rPr>
              <w:t>compétences d’exécution par</w:t>
            </w:r>
            <w:r w:rsidRPr="008C3CD8">
              <w:t xml:space="preserve"> la Commission </w:t>
            </w:r>
            <w:r w:rsidRPr="008C3CD8">
              <w:rPr>
                <w:b/>
                <w:i/>
              </w:rPr>
              <w:t>(</w:t>
            </w:r>
            <w:r w:rsidRPr="008C3CD8">
              <w:t>JO L </w:t>
            </w:r>
            <w:r w:rsidRPr="008C3CD8">
              <w:rPr>
                <w:b/>
                <w:i/>
              </w:rPr>
              <w:t>55</w:t>
            </w:r>
            <w:r w:rsidRPr="008C3CD8">
              <w:t xml:space="preserve"> du </w:t>
            </w:r>
            <w:r w:rsidRPr="008C3CD8">
              <w:rPr>
                <w:b/>
                <w:i/>
              </w:rPr>
              <w:t>28</w:t>
            </w:r>
            <w:r w:rsidRPr="008C3CD8">
              <w:t>.</w:t>
            </w:r>
            <w:r w:rsidRPr="008C3CD8">
              <w:rPr>
                <w:b/>
                <w:i/>
              </w:rPr>
              <w:t>2</w:t>
            </w:r>
            <w:r w:rsidRPr="008C3CD8">
              <w:t>.</w:t>
            </w:r>
            <w:r w:rsidRPr="008C3CD8">
              <w:rPr>
                <w:b/>
                <w:i/>
              </w:rPr>
              <w:t>2011</w:t>
            </w:r>
            <w:r w:rsidRPr="008C3CD8">
              <w:t>, p. </w:t>
            </w:r>
            <w:r w:rsidRPr="008C3CD8">
              <w:rPr>
                <w:b/>
                <w:i/>
              </w:rPr>
              <w:t>13</w:t>
            </w:r>
            <w:r w:rsidRPr="008C3CD8">
              <w:t xml:space="preserve">, </w:t>
            </w:r>
            <w:proofErr w:type="gramStart"/>
            <w:r w:rsidRPr="008C3CD8">
              <w:t>ELI:</w:t>
            </w:r>
            <w:proofErr w:type="gramEnd"/>
            <w:r w:rsidRPr="008C3CD8">
              <w:t xml:space="preserve"> http://data.europa.</w:t>
            </w:r>
            <w:r w:rsidRPr="008C3CD8">
              <w:rPr>
                <w:b/>
                <w:i/>
              </w:rPr>
              <w:t>eu/eli/reg/2011/182/oj).</w:t>
            </w:r>
          </w:p>
        </w:tc>
        <w:tc>
          <w:tcPr>
            <w:tcW w:w="4876" w:type="dxa"/>
            <w:tcBorders>
              <w:top w:val="nil"/>
              <w:left w:val="nil"/>
              <w:bottom w:val="nil"/>
              <w:right w:val="nil"/>
            </w:tcBorders>
          </w:tcPr>
          <w:p w14:paraId="7A31E5B3" w14:textId="01A15F91" w:rsidR="004D1EC1" w:rsidRPr="004E0FCE" w:rsidRDefault="004D1EC1" w:rsidP="00B309B3">
            <w:pPr>
              <w:pStyle w:val="Normal6a"/>
              <w:rPr>
                <w:lang w:val="fi-FI"/>
              </w:rPr>
            </w:pPr>
            <w:r w:rsidRPr="002D3F1C">
              <w:rPr>
                <w:b/>
                <w:i/>
                <w:vertAlign w:val="superscript"/>
                <w:lang w:val="fi-FI"/>
              </w:rPr>
              <w:t>3</w:t>
            </w:r>
            <w:r w:rsidRPr="004E0FCE">
              <w:rPr>
                <w:lang w:val="fi-FI"/>
              </w:rPr>
              <w:t xml:space="preserve"> JO L </w:t>
            </w:r>
            <w:r w:rsidRPr="004E0FCE">
              <w:rPr>
                <w:b/>
                <w:i/>
                <w:lang w:val="fi-FI"/>
              </w:rPr>
              <w:t>123</w:t>
            </w:r>
            <w:r w:rsidRPr="004E0FCE">
              <w:rPr>
                <w:lang w:val="fi-FI"/>
              </w:rPr>
              <w:t xml:space="preserve"> du </w:t>
            </w:r>
            <w:r w:rsidRPr="004E0FCE">
              <w:rPr>
                <w:b/>
                <w:i/>
                <w:lang w:val="fi-FI"/>
              </w:rPr>
              <w:t>12</w:t>
            </w:r>
            <w:r w:rsidRPr="004E0FCE">
              <w:rPr>
                <w:lang w:val="fi-FI"/>
              </w:rPr>
              <w:t>.</w:t>
            </w:r>
            <w:r w:rsidRPr="004E0FCE">
              <w:rPr>
                <w:b/>
                <w:i/>
                <w:lang w:val="fi-FI"/>
              </w:rPr>
              <w:t>5</w:t>
            </w:r>
            <w:r w:rsidRPr="004E0FCE">
              <w:rPr>
                <w:lang w:val="fi-FI"/>
              </w:rPr>
              <w:t>.</w:t>
            </w:r>
            <w:r w:rsidRPr="004E0FCE">
              <w:rPr>
                <w:b/>
                <w:i/>
                <w:lang w:val="fi-FI"/>
              </w:rPr>
              <w:t>2016</w:t>
            </w:r>
            <w:r w:rsidRPr="004E0FCE">
              <w:rPr>
                <w:lang w:val="fi-FI"/>
              </w:rPr>
              <w:t>, p. </w:t>
            </w:r>
            <w:r w:rsidRPr="004E0FCE">
              <w:rPr>
                <w:b/>
                <w:i/>
                <w:lang w:val="fi-FI"/>
              </w:rPr>
              <w:t>1</w:t>
            </w:r>
            <w:r w:rsidRPr="004E0FCE">
              <w:rPr>
                <w:lang w:val="fi-FI"/>
              </w:rPr>
              <w:t>, ELI: http://data.europa.</w:t>
            </w:r>
            <w:r w:rsidRPr="004E0FCE">
              <w:rPr>
                <w:b/>
                <w:i/>
                <w:lang w:val="fi-FI"/>
              </w:rPr>
              <w:t>eu/eli/agree_interinstit/2016/512/oj</w:t>
            </w:r>
            <w:r w:rsidR="004E0FCE">
              <w:rPr>
                <w:b/>
                <w:i/>
                <w:lang w:val="fi-FI"/>
              </w:rPr>
              <w:t>.</w:t>
            </w:r>
          </w:p>
        </w:tc>
      </w:tr>
    </w:tbl>
    <w:p w14:paraId="045C5A57" w14:textId="77777777" w:rsidR="004D1EC1" w:rsidRPr="0077135F" w:rsidRDefault="004D1EC1" w:rsidP="004D1EC1">
      <w:pPr>
        <w:rPr>
          <w:lang w:val="de-DE"/>
        </w:rPr>
      </w:pPr>
      <w:r w:rsidRPr="0077135F">
        <w:rPr>
          <w:rStyle w:val="HideTWBExt"/>
          <w:lang w:val="de-DE"/>
        </w:rPr>
        <w:t>&lt;/Amend&gt;</w:t>
      </w:r>
    </w:p>
    <w:p w14:paraId="660267A9"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5</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054FB71C"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E30522F" w14:textId="77777777" w:rsidR="004D1EC1" w:rsidRPr="008C3CD8" w:rsidRDefault="004D1EC1" w:rsidP="004D1EC1">
      <w:pPr>
        <w:pStyle w:val="NormalBold"/>
      </w:pPr>
      <w:r w:rsidRPr="008C3CD8">
        <w:rPr>
          <w:rStyle w:val="HideTWBExt"/>
          <w:b w:val="0"/>
        </w:rPr>
        <w:t>&lt;Article&gt;</w:t>
      </w:r>
      <w:r w:rsidRPr="008C3CD8">
        <w:t>Considérant 5 bis (nouveau)</w:t>
      </w:r>
      <w:r w:rsidRPr="008C3CD8">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37EF2850" w14:textId="77777777" w:rsidTr="00B309B3">
        <w:trPr>
          <w:trHeight w:hRule="exact" w:val="240"/>
          <w:jc w:val="center"/>
        </w:trPr>
        <w:tc>
          <w:tcPr>
            <w:tcW w:w="9752" w:type="dxa"/>
            <w:gridSpan w:val="2"/>
            <w:tcBorders>
              <w:top w:val="nil"/>
              <w:left w:val="nil"/>
              <w:bottom w:val="nil"/>
              <w:right w:val="nil"/>
            </w:tcBorders>
          </w:tcPr>
          <w:p w14:paraId="7ECDCAEF" w14:textId="77777777" w:rsidR="004D1EC1" w:rsidRPr="008C3CD8" w:rsidRDefault="004D1EC1" w:rsidP="00B309B3"/>
        </w:tc>
      </w:tr>
      <w:tr w:rsidR="004D1EC1" w:rsidRPr="008C3CD8" w14:paraId="58DAE5E4" w14:textId="77777777" w:rsidTr="00B309B3">
        <w:trPr>
          <w:trHeight w:val="240"/>
          <w:jc w:val="center"/>
        </w:trPr>
        <w:tc>
          <w:tcPr>
            <w:tcW w:w="4876" w:type="dxa"/>
            <w:tcBorders>
              <w:top w:val="nil"/>
              <w:left w:val="nil"/>
              <w:bottom w:val="nil"/>
              <w:right w:val="nil"/>
            </w:tcBorders>
          </w:tcPr>
          <w:p w14:paraId="6CEA57B5"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7533A201" w14:textId="77777777" w:rsidR="004D1EC1" w:rsidRPr="008C3CD8" w:rsidRDefault="004D1EC1" w:rsidP="00B309B3">
            <w:pPr>
              <w:pStyle w:val="AmColumnHeading"/>
            </w:pPr>
            <w:r w:rsidRPr="008C3CD8">
              <w:t>Amendement</w:t>
            </w:r>
          </w:p>
        </w:tc>
      </w:tr>
      <w:tr w:rsidR="004D1EC1" w:rsidRPr="008C3CD8" w14:paraId="468F6823" w14:textId="77777777" w:rsidTr="00B309B3">
        <w:trPr>
          <w:jc w:val="center"/>
        </w:trPr>
        <w:tc>
          <w:tcPr>
            <w:tcW w:w="4876" w:type="dxa"/>
            <w:tcBorders>
              <w:top w:val="nil"/>
              <w:left w:val="nil"/>
              <w:bottom w:val="nil"/>
              <w:right w:val="nil"/>
            </w:tcBorders>
          </w:tcPr>
          <w:p w14:paraId="60B23A76" w14:textId="77777777" w:rsidR="004D1EC1" w:rsidRPr="008C3CD8" w:rsidRDefault="004D1EC1" w:rsidP="00B309B3">
            <w:pPr>
              <w:pStyle w:val="Normal6a"/>
            </w:pPr>
          </w:p>
        </w:tc>
        <w:tc>
          <w:tcPr>
            <w:tcW w:w="4876" w:type="dxa"/>
            <w:tcBorders>
              <w:top w:val="nil"/>
              <w:left w:val="nil"/>
              <w:bottom w:val="nil"/>
              <w:right w:val="nil"/>
            </w:tcBorders>
          </w:tcPr>
          <w:p w14:paraId="3079AA84" w14:textId="77777777" w:rsidR="004D1EC1" w:rsidRPr="008C3CD8" w:rsidRDefault="004D1EC1" w:rsidP="00B309B3">
            <w:pPr>
              <w:pStyle w:val="Normal6a"/>
            </w:pPr>
            <w:r w:rsidRPr="008C3CD8">
              <w:rPr>
                <w:b/>
                <w:i/>
              </w:rPr>
              <w:t>(5 bis)</w:t>
            </w:r>
            <w:r w:rsidRPr="008C3CD8">
              <w:tab/>
            </w:r>
            <w:r w:rsidRPr="008C3CD8">
              <w:rPr>
                <w:b/>
                <w:i/>
              </w:rPr>
              <w:t>Au plus tard le 30 juin 2028, la Commission devrait publier un rapport d’évaluation complet sur l’incidence du présent règlement sur les producteurs de l’Union, la balance commerciale bilatérale des marchandises entre l’Union et les États-Unis, y compris une analyse des secteurs dans lesquels la dépendance du marché de l’Union à l’égard des marchandises originaires des États-Unis a augmenté ou diminué, et de l’incidence sur le budget de l’Union et les finances des États membres. S’il y a lieu, ce rapport devrait être accompagné d’une proposition législative visant à prolonger l’application du présent règlement.</w:t>
            </w:r>
          </w:p>
        </w:tc>
      </w:tr>
    </w:tbl>
    <w:p w14:paraId="069AECEC" w14:textId="77777777" w:rsidR="004D1EC1" w:rsidRPr="0077135F" w:rsidRDefault="004D1EC1" w:rsidP="004D1EC1">
      <w:pPr>
        <w:rPr>
          <w:lang w:val="de-DE"/>
        </w:rPr>
      </w:pPr>
      <w:r w:rsidRPr="0077135F">
        <w:rPr>
          <w:rStyle w:val="HideTWBExt"/>
          <w:lang w:val="de-DE"/>
        </w:rPr>
        <w:t>&lt;/Amend&gt;</w:t>
      </w:r>
    </w:p>
    <w:p w14:paraId="007FC3EC" w14:textId="77777777" w:rsidR="004D1EC1" w:rsidRPr="0077135F" w:rsidRDefault="004D1EC1" w:rsidP="004D1EC1">
      <w:pPr>
        <w:pStyle w:val="AmNumberTabs"/>
        <w:rPr>
          <w:lang w:val="de-DE"/>
        </w:rPr>
      </w:pPr>
      <w:r w:rsidRPr="0077135F">
        <w:rPr>
          <w:rStyle w:val="HideTWBExt"/>
          <w:b w:val="0"/>
          <w:lang w:val="de-DE"/>
        </w:rPr>
        <w:lastRenderedPageBreak/>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6</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408BF253" w14:textId="77777777" w:rsidR="004D1EC1" w:rsidRPr="008C3CD8" w:rsidRDefault="004D1EC1" w:rsidP="004D1EC1">
      <w:pPr>
        <w:pStyle w:val="NormalBold12b"/>
        <w:keepNext/>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3DC3FD5" w14:textId="77777777" w:rsidR="004D1EC1" w:rsidRPr="008C3CD8" w:rsidRDefault="004D1EC1" w:rsidP="004D1EC1">
      <w:pPr>
        <w:pStyle w:val="NormalBold"/>
        <w:rPr>
          <w:rStyle w:val="HideTWBExt"/>
          <w:rFonts w:eastAsiaTheme="majorEastAsia"/>
        </w:rPr>
      </w:pPr>
      <w:r w:rsidRPr="008C3CD8">
        <w:rPr>
          <w:rStyle w:val="HideTWBExt"/>
          <w:b w:val="0"/>
        </w:rPr>
        <w:t>&lt;Article&gt;</w:t>
      </w:r>
      <w:r w:rsidRPr="008C3CD8">
        <w:t>Considérant 6 bis (nouveau)</w:t>
      </w:r>
      <w:r w:rsidRPr="008C3CD8">
        <w:rPr>
          <w:rStyle w:val="HideTWBExt"/>
          <w:b w:val="0"/>
        </w:rPr>
        <w:t>&lt;/Article&gt;</w:t>
      </w:r>
    </w:p>
    <w:p w14:paraId="43899FFA" w14:textId="77777777" w:rsidR="004D1EC1" w:rsidRPr="008C3CD8" w:rsidRDefault="004D1EC1" w:rsidP="004D1EC1">
      <w:pPr>
        <w:pStyle w:val="NormalBold"/>
        <w:rPr>
          <w:rFonts w:ascii="Arial" w:eastAsiaTheme="majorEastAsia" w:hAnsi="Arial"/>
          <w:b w:val="0"/>
          <w:noProof/>
          <w:vanish/>
          <w:sz w:val="20"/>
        </w:rPr>
      </w:pP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4D1EC1" w:rsidRPr="008C3CD8" w14:paraId="35A178DF" w14:textId="77777777" w:rsidTr="00B309B3">
        <w:tc>
          <w:tcPr>
            <w:tcW w:w="9752" w:type="dxa"/>
            <w:gridSpan w:val="2"/>
          </w:tcPr>
          <w:p w14:paraId="11CB0C3F" w14:textId="77777777" w:rsidR="004D1EC1" w:rsidRPr="008C3CD8" w:rsidRDefault="004D1EC1" w:rsidP="00B309B3">
            <w:pPr>
              <w:rPr>
                <w:szCs w:val="24"/>
              </w:rPr>
            </w:pPr>
          </w:p>
        </w:tc>
      </w:tr>
      <w:tr w:rsidR="004D1EC1" w:rsidRPr="008C3CD8" w14:paraId="6D751123" w14:textId="77777777" w:rsidTr="00B309B3">
        <w:tc>
          <w:tcPr>
            <w:tcW w:w="4876" w:type="dxa"/>
            <w:hideMark/>
          </w:tcPr>
          <w:p w14:paraId="0EA6CE65" w14:textId="77777777" w:rsidR="004D1EC1" w:rsidRPr="008C3CD8" w:rsidRDefault="004D1EC1" w:rsidP="00B309B3">
            <w:pPr>
              <w:pStyle w:val="ColumnHeading"/>
              <w:rPr>
                <w:szCs w:val="24"/>
              </w:rPr>
            </w:pPr>
            <w:r w:rsidRPr="008C3CD8">
              <w:t>Texte proposé par la Commission</w:t>
            </w:r>
          </w:p>
        </w:tc>
        <w:tc>
          <w:tcPr>
            <w:tcW w:w="4876" w:type="dxa"/>
            <w:hideMark/>
          </w:tcPr>
          <w:p w14:paraId="3048A1D4" w14:textId="77777777" w:rsidR="004D1EC1" w:rsidRPr="008C3CD8" w:rsidRDefault="004D1EC1" w:rsidP="00B309B3">
            <w:pPr>
              <w:pStyle w:val="ColumnHeading"/>
              <w:rPr>
                <w:i w:val="0"/>
                <w:szCs w:val="24"/>
              </w:rPr>
            </w:pPr>
            <w:r w:rsidRPr="008C3CD8">
              <w:t>Amendement</w:t>
            </w:r>
          </w:p>
        </w:tc>
      </w:tr>
      <w:tr w:rsidR="004D1EC1" w:rsidRPr="008C3CD8" w14:paraId="591CF1C0" w14:textId="77777777" w:rsidTr="00B309B3">
        <w:tc>
          <w:tcPr>
            <w:tcW w:w="4876" w:type="dxa"/>
          </w:tcPr>
          <w:p w14:paraId="3F1F64B9" w14:textId="77777777" w:rsidR="004D1EC1" w:rsidRPr="008C3CD8" w:rsidRDefault="004D1EC1" w:rsidP="00B309B3">
            <w:pPr>
              <w:pStyle w:val="Normal6"/>
              <w:rPr>
                <w:szCs w:val="24"/>
                <w:lang w:val="fr-FR"/>
              </w:rPr>
            </w:pPr>
          </w:p>
        </w:tc>
        <w:tc>
          <w:tcPr>
            <w:tcW w:w="4876" w:type="dxa"/>
            <w:hideMark/>
          </w:tcPr>
          <w:p w14:paraId="3267F489" w14:textId="62F78AF9" w:rsidR="004D1EC1" w:rsidRPr="008C3CD8" w:rsidRDefault="004D1EC1" w:rsidP="00B309B3">
            <w:pPr>
              <w:pStyle w:val="Normal6"/>
              <w:rPr>
                <w:szCs w:val="24"/>
                <w:lang w:val="fr-FR"/>
              </w:rPr>
            </w:pPr>
            <w:r w:rsidRPr="008C3CD8">
              <w:rPr>
                <w:b/>
                <w:i/>
                <w:lang w:val="fr-FR"/>
              </w:rPr>
              <w:t>(6 bis) Les incidences du présent règlement sur le budget de l’Union ont été évaluées</w:t>
            </w:r>
            <w:r w:rsidRPr="008C3CD8">
              <w:rPr>
                <w:b/>
                <w:i/>
                <w:vertAlign w:val="superscript"/>
                <w:lang w:val="fr-FR"/>
              </w:rPr>
              <w:t>+</w:t>
            </w:r>
            <w:r w:rsidRPr="008C3CD8">
              <w:rPr>
                <w:b/>
                <w:i/>
                <w:lang w:val="fr-FR"/>
              </w:rPr>
              <w:t xml:space="preserve"> conformément à l’article 310, paragraphe 4, du traité sur le fonctionnement de l’Union européenne. Des ressources financières et humaines suffisantes devraient être allouées pour sa mise en œuvre, tout en tenant compte de l’incidence de son financement sur d’autres programmes ou politiques de l’Union et en garantissant sa compatibilité avec le cadre financier pluriannuel, le système des ressources propres et l’accord interinstitutionnel correspondant, ainsi qu’avec les principes budgétaires définis dans le règlement (UE, Euratom) 2024/2509 du Parlement européen et du Conseil</w:t>
            </w:r>
            <w:r w:rsidR="0077135F" w:rsidRPr="0077135F">
              <w:rPr>
                <w:b/>
                <w:i/>
                <w:vertAlign w:val="superscript"/>
                <w:lang w:val="fr-FR"/>
              </w:rPr>
              <w:t>1</w:t>
            </w:r>
            <w:r w:rsidRPr="008C3CD8">
              <w:rPr>
                <w:b/>
                <w:i/>
                <w:lang w:val="fr-FR"/>
              </w:rPr>
              <w:t>.</w:t>
            </w:r>
          </w:p>
        </w:tc>
      </w:tr>
      <w:tr w:rsidR="004D1EC1" w:rsidRPr="008C3CD8" w14:paraId="45B531EA" w14:textId="77777777" w:rsidTr="00B309B3">
        <w:tc>
          <w:tcPr>
            <w:tcW w:w="4876" w:type="dxa"/>
          </w:tcPr>
          <w:p w14:paraId="4673459D" w14:textId="77777777" w:rsidR="004D1EC1" w:rsidRPr="008C3CD8" w:rsidRDefault="004D1EC1" w:rsidP="00B309B3">
            <w:pPr>
              <w:pStyle w:val="Normal6"/>
              <w:rPr>
                <w:szCs w:val="24"/>
                <w:lang w:val="fr-FR"/>
              </w:rPr>
            </w:pPr>
          </w:p>
        </w:tc>
        <w:tc>
          <w:tcPr>
            <w:tcW w:w="4876" w:type="dxa"/>
          </w:tcPr>
          <w:p w14:paraId="4F428355" w14:textId="77777777" w:rsidR="004D1EC1" w:rsidRPr="008C3CD8" w:rsidRDefault="004D1EC1" w:rsidP="00B309B3">
            <w:pPr>
              <w:pStyle w:val="Normal6"/>
              <w:rPr>
                <w:b/>
                <w:i/>
                <w:lang w:val="fr-FR"/>
              </w:rPr>
            </w:pPr>
            <w:r w:rsidRPr="008C3CD8">
              <w:rPr>
                <w:b/>
                <w:i/>
                <w:lang w:val="fr-FR"/>
              </w:rPr>
              <w:t>____________________</w:t>
            </w:r>
          </w:p>
        </w:tc>
      </w:tr>
      <w:tr w:rsidR="004D1EC1" w:rsidRPr="008C3CD8" w14:paraId="45C86B8C" w14:textId="77777777" w:rsidTr="00B309B3">
        <w:tc>
          <w:tcPr>
            <w:tcW w:w="4876" w:type="dxa"/>
          </w:tcPr>
          <w:p w14:paraId="5348B646" w14:textId="77777777" w:rsidR="004D1EC1" w:rsidRPr="008C3CD8" w:rsidRDefault="004D1EC1" w:rsidP="00B309B3">
            <w:pPr>
              <w:pStyle w:val="Normal6"/>
              <w:rPr>
                <w:szCs w:val="24"/>
                <w:lang w:val="fr-FR"/>
              </w:rPr>
            </w:pPr>
          </w:p>
        </w:tc>
        <w:tc>
          <w:tcPr>
            <w:tcW w:w="4876" w:type="dxa"/>
            <w:hideMark/>
          </w:tcPr>
          <w:p w14:paraId="27857439" w14:textId="77777777" w:rsidR="004D1EC1" w:rsidRPr="008C3CD8" w:rsidRDefault="004D1EC1" w:rsidP="00B309B3">
            <w:pPr>
              <w:pStyle w:val="Normal6"/>
              <w:rPr>
                <w:b/>
                <w:i/>
                <w:lang w:val="fr-FR"/>
              </w:rPr>
            </w:pPr>
            <w:r w:rsidRPr="008C3CD8">
              <w:rPr>
                <w:b/>
                <w:i/>
                <w:vertAlign w:val="superscript"/>
                <w:lang w:val="fr-FR"/>
              </w:rPr>
              <w:t>+</w:t>
            </w:r>
            <w:r w:rsidRPr="008C3CD8">
              <w:rPr>
                <w:b/>
                <w:i/>
                <w:lang w:val="fr-FR"/>
              </w:rPr>
              <w:t xml:space="preserve"> Pour mémoire: évaluation budgétaire de la commission des budgets du Parlement européen du 11 décembre 2025 sur la proposition de règlement du Parlement européen et du Conseil relatif à la non-application des droits de douane aux importations de certaines marchandises (COM(2025)0472).</w:t>
            </w:r>
          </w:p>
        </w:tc>
      </w:tr>
      <w:tr w:rsidR="004D1EC1" w:rsidRPr="008C3CD8" w14:paraId="7CCC07DC" w14:textId="77777777" w:rsidTr="00B309B3">
        <w:tc>
          <w:tcPr>
            <w:tcW w:w="4876" w:type="dxa"/>
          </w:tcPr>
          <w:p w14:paraId="34D2C695" w14:textId="77777777" w:rsidR="004D1EC1" w:rsidRPr="008C3CD8" w:rsidRDefault="004D1EC1" w:rsidP="00B309B3">
            <w:pPr>
              <w:pStyle w:val="Normal6"/>
              <w:rPr>
                <w:szCs w:val="24"/>
                <w:lang w:val="fr-FR"/>
              </w:rPr>
            </w:pPr>
          </w:p>
        </w:tc>
        <w:tc>
          <w:tcPr>
            <w:tcW w:w="4876" w:type="dxa"/>
          </w:tcPr>
          <w:p w14:paraId="15190B1D" w14:textId="52A60C56" w:rsidR="004D1EC1" w:rsidRPr="008C3CD8" w:rsidRDefault="004D1EC1" w:rsidP="00B309B3">
            <w:pPr>
              <w:pStyle w:val="Normal6"/>
              <w:rPr>
                <w:b/>
                <w:i/>
                <w:lang w:val="fr-FR"/>
              </w:rPr>
            </w:pPr>
            <w:r w:rsidRPr="008C3CD8">
              <w:rPr>
                <w:b/>
                <w:i/>
                <w:vertAlign w:val="superscript"/>
                <w:lang w:val="fr-FR"/>
              </w:rPr>
              <w:t>[1]</w:t>
            </w:r>
            <w:r w:rsidR="002D3F1C">
              <w:rPr>
                <w:b/>
                <w:i/>
                <w:vertAlign w:val="superscript"/>
                <w:lang w:val="fr-FR"/>
              </w:rPr>
              <w:t xml:space="preserve"> </w:t>
            </w:r>
            <w:r w:rsidRPr="008C3CD8">
              <w:rPr>
                <w:b/>
                <w:i/>
                <w:lang w:val="fr-FR"/>
              </w:rPr>
              <w:t xml:space="preserve">Règlement (UE, Euratom) 2024/2509 du Parlement européen et du Conseil du 23 septembre 2024 relatif aux règles financières applicables au budget général de l’Union (JO L, 2024/2509, 26.9.2024, </w:t>
            </w:r>
            <w:proofErr w:type="gramStart"/>
            <w:r w:rsidRPr="008C3CD8">
              <w:rPr>
                <w:b/>
                <w:i/>
                <w:lang w:val="fr-FR"/>
              </w:rPr>
              <w:t>ELI:</w:t>
            </w:r>
            <w:proofErr w:type="gramEnd"/>
            <w:r w:rsidRPr="008C3CD8">
              <w:rPr>
                <w:b/>
                <w:i/>
                <w:lang w:val="fr-FR"/>
              </w:rPr>
              <w:t xml:space="preserve"> </w:t>
            </w:r>
            <w:hyperlink r:id="rId9" w:history="1">
              <w:r w:rsidRPr="008C3CD8">
                <w:rPr>
                  <w:rStyle w:val="Hyperlink"/>
                  <w:b/>
                  <w:i/>
                  <w:lang w:val="fr-FR"/>
                </w:rPr>
                <w:t>http://data.europa.eu/eli/reg/2024/2509/oj</w:t>
              </w:r>
            </w:hyperlink>
            <w:r w:rsidRPr="008C3CD8">
              <w:rPr>
                <w:rStyle w:val="Hyperlink"/>
                <w:b/>
                <w:i/>
                <w:lang w:val="fr-FR"/>
              </w:rPr>
              <w:t>).</w:t>
            </w:r>
          </w:p>
        </w:tc>
      </w:tr>
    </w:tbl>
    <w:p w14:paraId="3A568932" w14:textId="77777777" w:rsidR="004D1EC1" w:rsidRPr="0077135F" w:rsidRDefault="004D1EC1" w:rsidP="004D1EC1">
      <w:pPr>
        <w:rPr>
          <w:lang w:val="de-DE"/>
        </w:rPr>
      </w:pPr>
      <w:r w:rsidRPr="0077135F">
        <w:rPr>
          <w:rStyle w:val="HideTWBExt"/>
          <w:lang w:val="de-DE"/>
        </w:rPr>
        <w:t>&lt;/Amend&gt;</w:t>
      </w:r>
    </w:p>
    <w:p w14:paraId="24DA09D3"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7</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5BB7A224"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2ED42BA7" w14:textId="77777777" w:rsidR="004D1EC1" w:rsidRPr="008C3CD8" w:rsidRDefault="004D1EC1" w:rsidP="004D1EC1">
      <w:pPr>
        <w:pStyle w:val="NormalBold"/>
      </w:pPr>
      <w:r w:rsidRPr="008C3CD8">
        <w:rPr>
          <w:rStyle w:val="HideTWBExt"/>
          <w:b w:val="0"/>
        </w:rPr>
        <w:t>&lt;Article&gt;</w:t>
      </w:r>
      <w:r w:rsidRPr="008C3CD8">
        <w:t>Article 2 – paragraphe 1 – alinéa 1 – partie introductive</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0FDA050E" w14:textId="77777777" w:rsidTr="00B309B3">
        <w:trPr>
          <w:trHeight w:hRule="exact" w:val="240"/>
          <w:jc w:val="center"/>
        </w:trPr>
        <w:tc>
          <w:tcPr>
            <w:tcW w:w="9752" w:type="dxa"/>
            <w:gridSpan w:val="2"/>
            <w:tcBorders>
              <w:top w:val="nil"/>
              <w:left w:val="nil"/>
              <w:bottom w:val="nil"/>
              <w:right w:val="nil"/>
            </w:tcBorders>
          </w:tcPr>
          <w:p w14:paraId="1C9B60B7" w14:textId="77777777" w:rsidR="004D1EC1" w:rsidRPr="008C3CD8" w:rsidRDefault="004D1EC1" w:rsidP="00B309B3"/>
        </w:tc>
      </w:tr>
      <w:tr w:rsidR="004D1EC1" w:rsidRPr="008C3CD8" w14:paraId="489AF12C" w14:textId="77777777" w:rsidTr="00B309B3">
        <w:trPr>
          <w:trHeight w:val="240"/>
          <w:jc w:val="center"/>
        </w:trPr>
        <w:tc>
          <w:tcPr>
            <w:tcW w:w="4876" w:type="dxa"/>
            <w:tcBorders>
              <w:top w:val="nil"/>
              <w:left w:val="nil"/>
              <w:bottom w:val="nil"/>
              <w:right w:val="nil"/>
            </w:tcBorders>
          </w:tcPr>
          <w:p w14:paraId="3A00A2E2" w14:textId="77777777" w:rsidR="004D1EC1" w:rsidRPr="008C3CD8" w:rsidRDefault="004D1EC1" w:rsidP="00B309B3">
            <w:pPr>
              <w:pStyle w:val="AmColumnHeading"/>
            </w:pPr>
            <w:r w:rsidRPr="008C3CD8">
              <w:lastRenderedPageBreak/>
              <w:t>Texte proposé par la Commission</w:t>
            </w:r>
          </w:p>
        </w:tc>
        <w:tc>
          <w:tcPr>
            <w:tcW w:w="4876" w:type="dxa"/>
            <w:tcBorders>
              <w:top w:val="nil"/>
              <w:left w:val="nil"/>
              <w:bottom w:val="nil"/>
              <w:right w:val="nil"/>
            </w:tcBorders>
          </w:tcPr>
          <w:p w14:paraId="457585CD" w14:textId="77777777" w:rsidR="004D1EC1" w:rsidRPr="008C3CD8" w:rsidRDefault="004D1EC1" w:rsidP="00B309B3">
            <w:pPr>
              <w:pStyle w:val="AmColumnHeading"/>
            </w:pPr>
            <w:r w:rsidRPr="008C3CD8">
              <w:t>Amendement</w:t>
            </w:r>
          </w:p>
        </w:tc>
      </w:tr>
      <w:tr w:rsidR="004D1EC1" w:rsidRPr="008C3CD8" w14:paraId="3FE021D3" w14:textId="77777777" w:rsidTr="00B309B3">
        <w:trPr>
          <w:jc w:val="center"/>
        </w:trPr>
        <w:tc>
          <w:tcPr>
            <w:tcW w:w="4876" w:type="dxa"/>
            <w:tcBorders>
              <w:top w:val="nil"/>
              <w:left w:val="nil"/>
              <w:bottom w:val="nil"/>
              <w:right w:val="nil"/>
            </w:tcBorders>
          </w:tcPr>
          <w:p w14:paraId="7B230DCE" w14:textId="77777777" w:rsidR="004D1EC1" w:rsidRPr="008C3CD8" w:rsidRDefault="004D1EC1" w:rsidP="00B309B3">
            <w:pPr>
              <w:pStyle w:val="Normal6a"/>
            </w:pPr>
            <w:r w:rsidRPr="008C3CD8">
              <w:t xml:space="preserve">La Commission </w:t>
            </w:r>
            <w:r w:rsidRPr="008C3CD8">
              <w:rPr>
                <w:b/>
                <w:i/>
              </w:rPr>
              <w:t>peut</w:t>
            </w:r>
            <w:r w:rsidRPr="008C3CD8">
              <w:t xml:space="preserve"> adopter </w:t>
            </w:r>
            <w:r w:rsidRPr="008C3CD8">
              <w:rPr>
                <w:b/>
                <w:i/>
              </w:rPr>
              <w:t>un acte d’exécution suspendant</w:t>
            </w:r>
            <w:r w:rsidRPr="008C3CD8">
              <w:t>, en tout ou en partie, l’application de l’article 1</w:t>
            </w:r>
            <w:r w:rsidRPr="008C3CD8">
              <w:rPr>
                <w:vertAlign w:val="superscript"/>
              </w:rPr>
              <w:t>er</w:t>
            </w:r>
            <w:r w:rsidRPr="008C3CD8">
              <w:t xml:space="preserve"> dans les cas suivants:</w:t>
            </w:r>
          </w:p>
        </w:tc>
        <w:tc>
          <w:tcPr>
            <w:tcW w:w="4876" w:type="dxa"/>
            <w:tcBorders>
              <w:top w:val="nil"/>
              <w:left w:val="nil"/>
              <w:bottom w:val="nil"/>
              <w:right w:val="nil"/>
            </w:tcBorders>
          </w:tcPr>
          <w:p w14:paraId="0AD59C76" w14:textId="77777777" w:rsidR="004D1EC1" w:rsidRPr="008C3CD8" w:rsidRDefault="004D1EC1" w:rsidP="00B309B3">
            <w:pPr>
              <w:pStyle w:val="Normal6a"/>
            </w:pPr>
            <w:r w:rsidRPr="008C3CD8">
              <w:t xml:space="preserve">La Commission </w:t>
            </w:r>
            <w:r w:rsidRPr="008C3CD8">
              <w:rPr>
                <w:b/>
                <w:i/>
              </w:rPr>
              <w:t>est habilitée à</w:t>
            </w:r>
            <w:r w:rsidRPr="008C3CD8">
              <w:t xml:space="preserve"> adopter</w:t>
            </w:r>
            <w:r w:rsidRPr="008C3CD8">
              <w:rPr>
                <w:b/>
                <w:i/>
              </w:rPr>
              <w:t>, conformément à l’article 3 bis, des actes délégués modifiant le présent règlement afin de suspendre</w:t>
            </w:r>
            <w:r w:rsidRPr="008C3CD8">
              <w:t>, en tout ou en partie, l’application de l’article 1</w:t>
            </w:r>
            <w:r w:rsidRPr="008C3CD8">
              <w:rPr>
                <w:vertAlign w:val="superscript"/>
              </w:rPr>
              <w:t>er</w:t>
            </w:r>
            <w:r w:rsidRPr="008C3CD8">
              <w:t xml:space="preserve"> dans les cas suivants:</w:t>
            </w:r>
          </w:p>
        </w:tc>
      </w:tr>
    </w:tbl>
    <w:p w14:paraId="147E7605" w14:textId="77777777" w:rsidR="004D1EC1" w:rsidRPr="009F06A9" w:rsidRDefault="004D1EC1" w:rsidP="004D1EC1">
      <w:pPr>
        <w:rPr>
          <w:rStyle w:val="HideTWBExt"/>
          <w:lang w:val="de-DE"/>
        </w:rPr>
      </w:pPr>
      <w:r w:rsidRPr="009F06A9">
        <w:rPr>
          <w:rStyle w:val="HideTWBExt"/>
          <w:lang w:val="de-DE"/>
        </w:rPr>
        <w:t>&lt;/Amend&gt;</w:t>
      </w:r>
    </w:p>
    <w:p w14:paraId="5282538A"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8</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6CCBB809"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E60287B" w14:textId="77777777" w:rsidR="004D1EC1" w:rsidRPr="008C3CD8" w:rsidRDefault="004D1EC1" w:rsidP="004D1EC1">
      <w:pPr>
        <w:pStyle w:val="NormalBold"/>
      </w:pPr>
      <w:r w:rsidRPr="008C3CD8">
        <w:rPr>
          <w:rStyle w:val="HideTWBExt"/>
          <w:b w:val="0"/>
        </w:rPr>
        <w:t>&lt;Article&gt;</w:t>
      </w:r>
      <w:r w:rsidRPr="008C3CD8">
        <w:t>Article 2 – paragraphe 1 – alinéa 1 – point a bis (nouveau)</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0929F6DF" w14:textId="77777777" w:rsidTr="00B309B3">
        <w:trPr>
          <w:trHeight w:hRule="exact" w:val="240"/>
          <w:jc w:val="center"/>
        </w:trPr>
        <w:tc>
          <w:tcPr>
            <w:tcW w:w="9752" w:type="dxa"/>
            <w:gridSpan w:val="2"/>
            <w:tcBorders>
              <w:top w:val="nil"/>
              <w:left w:val="nil"/>
              <w:bottom w:val="nil"/>
              <w:right w:val="nil"/>
            </w:tcBorders>
          </w:tcPr>
          <w:p w14:paraId="29FDD039" w14:textId="77777777" w:rsidR="004D1EC1" w:rsidRPr="008C3CD8" w:rsidRDefault="004D1EC1" w:rsidP="00B309B3"/>
        </w:tc>
      </w:tr>
      <w:tr w:rsidR="004D1EC1" w:rsidRPr="008C3CD8" w14:paraId="50AE189F" w14:textId="77777777" w:rsidTr="00B309B3">
        <w:trPr>
          <w:trHeight w:val="240"/>
          <w:jc w:val="center"/>
        </w:trPr>
        <w:tc>
          <w:tcPr>
            <w:tcW w:w="4876" w:type="dxa"/>
            <w:tcBorders>
              <w:top w:val="nil"/>
              <w:left w:val="nil"/>
              <w:bottom w:val="nil"/>
              <w:right w:val="nil"/>
            </w:tcBorders>
          </w:tcPr>
          <w:p w14:paraId="29F08C86"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0C4BBD69" w14:textId="77777777" w:rsidR="004D1EC1" w:rsidRPr="008C3CD8" w:rsidRDefault="004D1EC1" w:rsidP="00B309B3">
            <w:pPr>
              <w:pStyle w:val="AmColumnHeading"/>
            </w:pPr>
            <w:r w:rsidRPr="008C3CD8">
              <w:t>Amendement</w:t>
            </w:r>
          </w:p>
        </w:tc>
      </w:tr>
      <w:tr w:rsidR="004D1EC1" w:rsidRPr="008C3CD8" w14:paraId="2BDCEEB5" w14:textId="77777777" w:rsidTr="00B309B3">
        <w:trPr>
          <w:jc w:val="center"/>
        </w:trPr>
        <w:tc>
          <w:tcPr>
            <w:tcW w:w="4876" w:type="dxa"/>
            <w:tcBorders>
              <w:top w:val="nil"/>
              <w:left w:val="nil"/>
              <w:bottom w:val="nil"/>
              <w:right w:val="nil"/>
            </w:tcBorders>
          </w:tcPr>
          <w:p w14:paraId="41F35D6F" w14:textId="77777777" w:rsidR="004D1EC1" w:rsidRPr="008C3CD8" w:rsidRDefault="004D1EC1" w:rsidP="00B309B3">
            <w:pPr>
              <w:pStyle w:val="Normal6a"/>
            </w:pPr>
          </w:p>
        </w:tc>
        <w:tc>
          <w:tcPr>
            <w:tcW w:w="4876" w:type="dxa"/>
            <w:tcBorders>
              <w:top w:val="nil"/>
              <w:left w:val="nil"/>
              <w:bottom w:val="nil"/>
              <w:right w:val="nil"/>
            </w:tcBorders>
          </w:tcPr>
          <w:p w14:paraId="305444B7" w14:textId="77777777" w:rsidR="004D1EC1" w:rsidRPr="008C3CD8" w:rsidRDefault="004D1EC1" w:rsidP="00B309B3">
            <w:pPr>
              <w:pStyle w:val="Normal6a"/>
            </w:pPr>
            <w:r w:rsidRPr="008C3CD8">
              <w:rPr>
                <w:b/>
                <w:i/>
              </w:rPr>
              <w:t>a bis)</w:t>
            </w:r>
            <w:r w:rsidRPr="008C3CD8">
              <w:tab/>
            </w:r>
            <w:r w:rsidRPr="008C3CD8">
              <w:rPr>
                <w:b/>
                <w:i/>
              </w:rPr>
              <w:t>si les États-Unis imposent des droits de douane supplémentaires sur des marchandises importées de l’Union qui dépassent le plafond tarifaire fixé à 15 % ou s’ils modifient la classification des produits avec pour conséquence une hausse du niveau des droits de douane;</w:t>
            </w:r>
          </w:p>
        </w:tc>
      </w:tr>
    </w:tbl>
    <w:p w14:paraId="55BE6181" w14:textId="77777777" w:rsidR="004D1EC1" w:rsidRPr="0077135F" w:rsidRDefault="004D1EC1" w:rsidP="004D1EC1">
      <w:pPr>
        <w:rPr>
          <w:lang w:val="de-DE"/>
        </w:rPr>
      </w:pPr>
      <w:r w:rsidRPr="0077135F">
        <w:rPr>
          <w:rStyle w:val="HideTWBExt"/>
          <w:lang w:val="de-DE"/>
        </w:rPr>
        <w:t>&lt;/Amend&gt;</w:t>
      </w:r>
    </w:p>
    <w:p w14:paraId="03AF8435"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9</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7F6F9FC5"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78514372" w14:textId="77777777" w:rsidR="004D1EC1" w:rsidRPr="008C3CD8" w:rsidRDefault="004D1EC1" w:rsidP="004D1EC1">
      <w:pPr>
        <w:pStyle w:val="NormalBold"/>
      </w:pPr>
      <w:r w:rsidRPr="008C3CD8">
        <w:rPr>
          <w:rStyle w:val="HideTWBExt"/>
          <w:b w:val="0"/>
        </w:rPr>
        <w:t>&lt;Article&gt;</w:t>
      </w:r>
      <w:r w:rsidRPr="008C3CD8">
        <w:t>Article 2 – paragraphe 1 – alinéa 1 – point b</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5ED3C263" w14:textId="77777777" w:rsidTr="00B309B3">
        <w:trPr>
          <w:trHeight w:hRule="exact" w:val="240"/>
          <w:jc w:val="center"/>
        </w:trPr>
        <w:tc>
          <w:tcPr>
            <w:tcW w:w="9752" w:type="dxa"/>
            <w:gridSpan w:val="2"/>
            <w:tcBorders>
              <w:top w:val="nil"/>
              <w:left w:val="nil"/>
              <w:bottom w:val="nil"/>
              <w:right w:val="nil"/>
            </w:tcBorders>
          </w:tcPr>
          <w:p w14:paraId="6095686B" w14:textId="77777777" w:rsidR="004D1EC1" w:rsidRPr="008C3CD8" w:rsidRDefault="004D1EC1" w:rsidP="00B309B3"/>
        </w:tc>
      </w:tr>
      <w:tr w:rsidR="004D1EC1" w:rsidRPr="008C3CD8" w14:paraId="5BE2C14D" w14:textId="77777777" w:rsidTr="00B309B3">
        <w:trPr>
          <w:trHeight w:val="240"/>
          <w:jc w:val="center"/>
        </w:trPr>
        <w:tc>
          <w:tcPr>
            <w:tcW w:w="4876" w:type="dxa"/>
            <w:tcBorders>
              <w:top w:val="nil"/>
              <w:left w:val="nil"/>
              <w:bottom w:val="nil"/>
              <w:right w:val="nil"/>
            </w:tcBorders>
          </w:tcPr>
          <w:p w14:paraId="7CD530EB"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19C2A939" w14:textId="77777777" w:rsidR="004D1EC1" w:rsidRPr="008C3CD8" w:rsidRDefault="004D1EC1" w:rsidP="00B309B3">
            <w:pPr>
              <w:pStyle w:val="AmColumnHeading"/>
            </w:pPr>
            <w:r w:rsidRPr="008C3CD8">
              <w:t>Amendement</w:t>
            </w:r>
          </w:p>
        </w:tc>
      </w:tr>
      <w:tr w:rsidR="004D1EC1" w:rsidRPr="008C3CD8" w14:paraId="12AA1509" w14:textId="77777777" w:rsidTr="00B309B3">
        <w:trPr>
          <w:jc w:val="center"/>
        </w:trPr>
        <w:tc>
          <w:tcPr>
            <w:tcW w:w="4876" w:type="dxa"/>
            <w:tcBorders>
              <w:top w:val="nil"/>
              <w:left w:val="nil"/>
              <w:bottom w:val="nil"/>
              <w:right w:val="nil"/>
            </w:tcBorders>
          </w:tcPr>
          <w:p w14:paraId="251E9FC2" w14:textId="77777777" w:rsidR="004D1EC1" w:rsidRPr="008C3CD8" w:rsidRDefault="004D1EC1" w:rsidP="00B309B3">
            <w:pPr>
              <w:pStyle w:val="Normal6a"/>
            </w:pPr>
            <w:r w:rsidRPr="008C3CD8">
              <w:t>b)</w:t>
            </w:r>
            <w:r w:rsidRPr="008C3CD8">
              <w:tab/>
              <w:t>s’il existe suffisamment d’éléments indiquant que les États-Unis agiront à l’avenir de la manière visée au point a);</w:t>
            </w:r>
          </w:p>
        </w:tc>
        <w:tc>
          <w:tcPr>
            <w:tcW w:w="4876" w:type="dxa"/>
            <w:tcBorders>
              <w:top w:val="nil"/>
              <w:left w:val="nil"/>
              <w:bottom w:val="nil"/>
              <w:right w:val="nil"/>
            </w:tcBorders>
          </w:tcPr>
          <w:p w14:paraId="22E3A7D3" w14:textId="77777777" w:rsidR="004D1EC1" w:rsidRPr="008C3CD8" w:rsidRDefault="004D1EC1" w:rsidP="00B309B3">
            <w:pPr>
              <w:pStyle w:val="Normal6a"/>
            </w:pPr>
            <w:r w:rsidRPr="008C3CD8">
              <w:t>b)</w:t>
            </w:r>
            <w:r w:rsidRPr="008C3CD8">
              <w:tab/>
              <w:t xml:space="preserve">s’il existe suffisamment d’éléments indiquant que les États-Unis agiront à l’avenir de la manière visée au point a) </w:t>
            </w:r>
            <w:r w:rsidRPr="008C3CD8">
              <w:rPr>
                <w:b/>
                <w:i/>
              </w:rPr>
              <w:t>ou au point a bis)</w:t>
            </w:r>
            <w:r w:rsidRPr="008C3CD8">
              <w:t>;</w:t>
            </w:r>
          </w:p>
        </w:tc>
      </w:tr>
    </w:tbl>
    <w:p w14:paraId="21F5A368" w14:textId="77777777" w:rsidR="004D1EC1" w:rsidRPr="0077135F" w:rsidRDefault="004D1EC1" w:rsidP="004D1EC1">
      <w:pPr>
        <w:rPr>
          <w:lang w:val="de-DE"/>
        </w:rPr>
      </w:pPr>
      <w:r w:rsidRPr="0077135F">
        <w:rPr>
          <w:rStyle w:val="HideTWBExt"/>
          <w:lang w:val="de-DE"/>
        </w:rPr>
        <w:t>&lt;/Amend&gt;</w:t>
      </w:r>
    </w:p>
    <w:p w14:paraId="678A9BE7"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10</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4B8BE5ED"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1009C59" w14:textId="77777777" w:rsidR="004D1EC1" w:rsidRPr="008C3CD8" w:rsidRDefault="004D1EC1" w:rsidP="004D1EC1">
      <w:pPr>
        <w:pStyle w:val="NormalBold"/>
      </w:pPr>
      <w:r w:rsidRPr="008C3CD8">
        <w:rPr>
          <w:rStyle w:val="HideTWBExt"/>
          <w:b w:val="0"/>
        </w:rPr>
        <w:t>&lt;Article&gt;</w:t>
      </w:r>
      <w:r w:rsidRPr="008C3CD8">
        <w:t>Article 2 – paragraphe 1 – alinéa 1 – point c</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491801BD" w14:textId="77777777" w:rsidTr="00B309B3">
        <w:trPr>
          <w:trHeight w:hRule="exact" w:val="240"/>
          <w:jc w:val="center"/>
        </w:trPr>
        <w:tc>
          <w:tcPr>
            <w:tcW w:w="9752" w:type="dxa"/>
            <w:gridSpan w:val="2"/>
            <w:tcBorders>
              <w:top w:val="nil"/>
              <w:left w:val="nil"/>
              <w:bottom w:val="nil"/>
              <w:right w:val="nil"/>
            </w:tcBorders>
          </w:tcPr>
          <w:p w14:paraId="1F7AE7B6" w14:textId="77777777" w:rsidR="004D1EC1" w:rsidRPr="008C3CD8" w:rsidRDefault="004D1EC1" w:rsidP="00B309B3"/>
        </w:tc>
      </w:tr>
      <w:tr w:rsidR="004D1EC1" w:rsidRPr="008C3CD8" w14:paraId="7A795171" w14:textId="77777777" w:rsidTr="00B309B3">
        <w:trPr>
          <w:trHeight w:val="240"/>
          <w:jc w:val="center"/>
        </w:trPr>
        <w:tc>
          <w:tcPr>
            <w:tcW w:w="4876" w:type="dxa"/>
            <w:tcBorders>
              <w:top w:val="nil"/>
              <w:left w:val="nil"/>
              <w:bottom w:val="nil"/>
              <w:right w:val="nil"/>
            </w:tcBorders>
          </w:tcPr>
          <w:p w14:paraId="39079A95"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73C227AF" w14:textId="77777777" w:rsidR="004D1EC1" w:rsidRPr="008C3CD8" w:rsidRDefault="004D1EC1" w:rsidP="00B309B3">
            <w:pPr>
              <w:pStyle w:val="AmColumnHeading"/>
            </w:pPr>
            <w:r w:rsidRPr="008C3CD8">
              <w:t>Amendement</w:t>
            </w:r>
          </w:p>
        </w:tc>
      </w:tr>
      <w:tr w:rsidR="004D1EC1" w:rsidRPr="008C3CD8" w14:paraId="10AD20F0" w14:textId="77777777" w:rsidTr="00B309B3">
        <w:trPr>
          <w:jc w:val="center"/>
        </w:trPr>
        <w:tc>
          <w:tcPr>
            <w:tcW w:w="4876" w:type="dxa"/>
            <w:tcBorders>
              <w:top w:val="nil"/>
              <w:left w:val="nil"/>
              <w:bottom w:val="nil"/>
              <w:right w:val="nil"/>
            </w:tcBorders>
          </w:tcPr>
          <w:p w14:paraId="1B365969" w14:textId="77777777" w:rsidR="004D1EC1" w:rsidRPr="008C3CD8" w:rsidRDefault="004D1EC1" w:rsidP="00B309B3">
            <w:pPr>
              <w:pStyle w:val="Normal6a"/>
            </w:pPr>
            <w:r w:rsidRPr="008C3CD8">
              <w:t>c)</w:t>
            </w:r>
            <w:r w:rsidRPr="008C3CD8">
              <w:tab/>
              <w:t>en cas de changement de circonstances objectives par rapport à celles existant au moment de la publication de la déclaration conjointe.</w:t>
            </w:r>
          </w:p>
        </w:tc>
        <w:tc>
          <w:tcPr>
            <w:tcW w:w="4876" w:type="dxa"/>
            <w:tcBorders>
              <w:top w:val="nil"/>
              <w:left w:val="nil"/>
              <w:bottom w:val="nil"/>
              <w:right w:val="nil"/>
            </w:tcBorders>
          </w:tcPr>
          <w:p w14:paraId="0F10C047" w14:textId="77777777" w:rsidR="004D1EC1" w:rsidRPr="008C3CD8" w:rsidRDefault="004D1EC1" w:rsidP="00B309B3">
            <w:pPr>
              <w:pStyle w:val="Normal6a"/>
            </w:pPr>
            <w:r w:rsidRPr="008C3CD8">
              <w:t>c)</w:t>
            </w:r>
            <w:r w:rsidRPr="008C3CD8">
              <w:tab/>
              <w:t>en cas de changement de circonstances objectives par rapport à celles existant au moment de la publication de la déclaration conjointe</w:t>
            </w:r>
            <w:r w:rsidRPr="008C3CD8">
              <w:rPr>
                <w:b/>
                <w:i/>
              </w:rPr>
              <w:t xml:space="preserve">, en particulier en cas de violations graves des droits de l’homme, des principes fondamentaux de la démocratie et de l’état de droit ainsi que de menaces pour les intérêts </w:t>
            </w:r>
            <w:r w:rsidRPr="008C3CD8">
              <w:rPr>
                <w:b/>
                <w:i/>
              </w:rPr>
              <w:lastRenderedPageBreak/>
              <w:t>essentiels de l’Union ou de ses États membres en matière de sécurité, et notamment leur intégrité territoriale ou leur dimension économique, ainsi que leur politique étrangère et leur politique de défense</w:t>
            </w:r>
            <w:r w:rsidRPr="008C3CD8">
              <w:t>.</w:t>
            </w:r>
          </w:p>
        </w:tc>
      </w:tr>
    </w:tbl>
    <w:p w14:paraId="5CD5530E" w14:textId="77777777" w:rsidR="004D1EC1" w:rsidRPr="0077135F" w:rsidRDefault="004D1EC1" w:rsidP="004D1EC1">
      <w:pPr>
        <w:rPr>
          <w:lang w:val="de-DE"/>
        </w:rPr>
      </w:pPr>
      <w:r w:rsidRPr="0077135F">
        <w:rPr>
          <w:rStyle w:val="HideTWBExt"/>
          <w:lang w:val="de-DE"/>
        </w:rPr>
        <w:lastRenderedPageBreak/>
        <w:t>&lt;/Amend&gt;</w:t>
      </w:r>
    </w:p>
    <w:p w14:paraId="7EE01EF1"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11</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7710021A"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3C2D97B5" w14:textId="77777777" w:rsidR="004D1EC1" w:rsidRPr="008C3CD8" w:rsidRDefault="004D1EC1" w:rsidP="004D1EC1">
      <w:pPr>
        <w:pStyle w:val="NormalBold"/>
      </w:pPr>
      <w:r w:rsidRPr="008C3CD8">
        <w:rPr>
          <w:rStyle w:val="HideTWBExt"/>
          <w:b w:val="0"/>
        </w:rPr>
        <w:t>&lt;Article&gt;</w:t>
      </w:r>
      <w:r w:rsidRPr="008C3CD8">
        <w:t>Article 2 – paragraphe 1 - alinéa 2</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76397BAB" w14:textId="77777777" w:rsidTr="00B309B3">
        <w:trPr>
          <w:trHeight w:hRule="exact" w:val="240"/>
          <w:jc w:val="center"/>
        </w:trPr>
        <w:tc>
          <w:tcPr>
            <w:tcW w:w="9752" w:type="dxa"/>
            <w:gridSpan w:val="2"/>
            <w:tcBorders>
              <w:top w:val="nil"/>
              <w:left w:val="nil"/>
              <w:bottom w:val="nil"/>
              <w:right w:val="nil"/>
            </w:tcBorders>
          </w:tcPr>
          <w:p w14:paraId="3C21C2C3" w14:textId="77777777" w:rsidR="004D1EC1" w:rsidRPr="008C3CD8" w:rsidRDefault="004D1EC1" w:rsidP="00B309B3"/>
        </w:tc>
      </w:tr>
      <w:tr w:rsidR="004D1EC1" w:rsidRPr="008C3CD8" w14:paraId="49F6ACD7" w14:textId="77777777" w:rsidTr="00B309B3">
        <w:trPr>
          <w:trHeight w:val="240"/>
          <w:jc w:val="center"/>
        </w:trPr>
        <w:tc>
          <w:tcPr>
            <w:tcW w:w="4876" w:type="dxa"/>
            <w:tcBorders>
              <w:top w:val="nil"/>
              <w:left w:val="nil"/>
              <w:bottom w:val="nil"/>
              <w:right w:val="nil"/>
            </w:tcBorders>
          </w:tcPr>
          <w:p w14:paraId="164A3E3E"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39429263" w14:textId="77777777" w:rsidR="004D1EC1" w:rsidRPr="008C3CD8" w:rsidRDefault="004D1EC1" w:rsidP="00B309B3">
            <w:pPr>
              <w:pStyle w:val="AmColumnHeading"/>
            </w:pPr>
            <w:r w:rsidRPr="008C3CD8">
              <w:t>Amendement</w:t>
            </w:r>
          </w:p>
        </w:tc>
      </w:tr>
      <w:tr w:rsidR="004D1EC1" w:rsidRPr="008C3CD8" w14:paraId="1B5F998C" w14:textId="77777777" w:rsidTr="00B309B3">
        <w:trPr>
          <w:jc w:val="center"/>
        </w:trPr>
        <w:tc>
          <w:tcPr>
            <w:tcW w:w="4876" w:type="dxa"/>
            <w:tcBorders>
              <w:top w:val="nil"/>
              <w:left w:val="nil"/>
              <w:bottom w:val="nil"/>
              <w:right w:val="nil"/>
            </w:tcBorders>
          </w:tcPr>
          <w:p w14:paraId="17519BE2" w14:textId="77777777" w:rsidR="004D1EC1" w:rsidRPr="008C3CD8" w:rsidRDefault="004D1EC1" w:rsidP="00B309B3">
            <w:pPr>
              <w:pStyle w:val="Normal6a"/>
            </w:pPr>
            <w:r w:rsidRPr="008C3CD8">
              <w:rPr>
                <w:b/>
                <w:i/>
              </w:rPr>
              <w:t>Cet acte d’exécution est adopté en conformité avec la procédure d’examen visée à l’article 3, paragraphe 2</w:t>
            </w:r>
            <w:r w:rsidRPr="008C3CD8">
              <w:t>.</w:t>
            </w:r>
          </w:p>
        </w:tc>
        <w:tc>
          <w:tcPr>
            <w:tcW w:w="4876" w:type="dxa"/>
            <w:tcBorders>
              <w:top w:val="nil"/>
              <w:left w:val="nil"/>
              <w:bottom w:val="nil"/>
              <w:right w:val="nil"/>
            </w:tcBorders>
          </w:tcPr>
          <w:p w14:paraId="30D5F688" w14:textId="77777777" w:rsidR="004D1EC1" w:rsidRPr="008C3CD8" w:rsidRDefault="004D1EC1" w:rsidP="00B309B3">
            <w:pPr>
              <w:pStyle w:val="Normal6a"/>
            </w:pPr>
            <w:r w:rsidRPr="008C3CD8">
              <w:rPr>
                <w:b/>
                <w:i/>
              </w:rPr>
              <w:t>Lorsque la Commission suspend en partie l’application de l’article 1</w:t>
            </w:r>
            <w:r w:rsidRPr="008C3CD8">
              <w:rPr>
                <w:b/>
                <w:i/>
                <w:vertAlign w:val="superscript"/>
              </w:rPr>
              <w:t>er</w:t>
            </w:r>
            <w:r w:rsidRPr="008C3CD8">
              <w:rPr>
                <w:b/>
                <w:i/>
              </w:rPr>
              <w:t>, elle modifie l’annexe de manière à réduire l’éventail des marchandises couvertes</w:t>
            </w:r>
            <w:r w:rsidRPr="008C3CD8">
              <w:t>.</w:t>
            </w:r>
          </w:p>
        </w:tc>
      </w:tr>
    </w:tbl>
    <w:p w14:paraId="3D92570B" w14:textId="77777777" w:rsidR="004D1EC1" w:rsidRPr="0077135F" w:rsidRDefault="004D1EC1" w:rsidP="004D1EC1">
      <w:pPr>
        <w:rPr>
          <w:lang w:val="de-DE"/>
        </w:rPr>
      </w:pPr>
      <w:r w:rsidRPr="0077135F">
        <w:rPr>
          <w:rStyle w:val="HideTWBExt"/>
          <w:lang w:val="de-DE"/>
        </w:rPr>
        <w:t>&lt;/Amend&gt;</w:t>
      </w:r>
    </w:p>
    <w:p w14:paraId="322209E7"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12</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5EE2B2A4"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39EC219C" w14:textId="77777777" w:rsidR="004D1EC1" w:rsidRPr="008C3CD8" w:rsidRDefault="004D1EC1" w:rsidP="004D1EC1">
      <w:pPr>
        <w:pStyle w:val="NormalBold"/>
      </w:pPr>
      <w:r w:rsidRPr="008C3CD8">
        <w:rPr>
          <w:rStyle w:val="HideTWBExt"/>
          <w:b w:val="0"/>
        </w:rPr>
        <w:t>&lt;Article&gt;</w:t>
      </w:r>
      <w:r w:rsidRPr="008C3CD8">
        <w:t>Article 2 – paragraphe 2</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42BA3004" w14:textId="77777777" w:rsidTr="00B309B3">
        <w:trPr>
          <w:trHeight w:hRule="exact" w:val="240"/>
          <w:jc w:val="center"/>
        </w:trPr>
        <w:tc>
          <w:tcPr>
            <w:tcW w:w="9752" w:type="dxa"/>
            <w:gridSpan w:val="2"/>
            <w:tcBorders>
              <w:top w:val="nil"/>
              <w:left w:val="nil"/>
              <w:bottom w:val="nil"/>
              <w:right w:val="nil"/>
            </w:tcBorders>
          </w:tcPr>
          <w:p w14:paraId="32D223F5" w14:textId="77777777" w:rsidR="004D1EC1" w:rsidRPr="008C3CD8" w:rsidRDefault="004D1EC1" w:rsidP="00B309B3"/>
        </w:tc>
      </w:tr>
      <w:tr w:rsidR="004D1EC1" w:rsidRPr="008C3CD8" w14:paraId="6A2DC269" w14:textId="77777777" w:rsidTr="00B309B3">
        <w:trPr>
          <w:trHeight w:val="240"/>
          <w:jc w:val="center"/>
        </w:trPr>
        <w:tc>
          <w:tcPr>
            <w:tcW w:w="4876" w:type="dxa"/>
            <w:tcBorders>
              <w:top w:val="nil"/>
              <w:left w:val="nil"/>
              <w:bottom w:val="nil"/>
              <w:right w:val="nil"/>
            </w:tcBorders>
          </w:tcPr>
          <w:p w14:paraId="7BD0E443"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17D1E43D" w14:textId="77777777" w:rsidR="004D1EC1" w:rsidRPr="008C3CD8" w:rsidRDefault="004D1EC1" w:rsidP="00B309B3">
            <w:pPr>
              <w:pStyle w:val="AmColumnHeading"/>
            </w:pPr>
            <w:r w:rsidRPr="008C3CD8">
              <w:t>Amendement</w:t>
            </w:r>
          </w:p>
        </w:tc>
      </w:tr>
      <w:tr w:rsidR="004D1EC1" w:rsidRPr="008C3CD8" w14:paraId="1D212B81" w14:textId="77777777" w:rsidTr="00B309B3">
        <w:trPr>
          <w:jc w:val="center"/>
        </w:trPr>
        <w:tc>
          <w:tcPr>
            <w:tcW w:w="4876" w:type="dxa"/>
            <w:tcBorders>
              <w:top w:val="nil"/>
              <w:left w:val="nil"/>
              <w:bottom w:val="nil"/>
              <w:right w:val="nil"/>
            </w:tcBorders>
          </w:tcPr>
          <w:p w14:paraId="78883692" w14:textId="77777777" w:rsidR="004D1EC1" w:rsidRPr="008C3CD8" w:rsidRDefault="004D1EC1" w:rsidP="00B309B3">
            <w:pPr>
              <w:pStyle w:val="Normal6a"/>
            </w:pPr>
            <w:r w:rsidRPr="008C3CD8">
              <w:t>2.</w:t>
            </w:r>
            <w:r w:rsidRPr="008C3CD8">
              <w:tab/>
            </w:r>
            <w:r w:rsidRPr="008C3CD8">
              <w:rPr>
                <w:b/>
                <w:i/>
              </w:rPr>
              <w:t>L’acte d’exécution visé</w:t>
            </w:r>
            <w:r w:rsidRPr="008C3CD8">
              <w:t xml:space="preserve"> au paragraphe 1 </w:t>
            </w:r>
            <w:r w:rsidRPr="008C3CD8">
              <w:rPr>
                <w:b/>
                <w:i/>
              </w:rPr>
              <w:t>s’applique</w:t>
            </w:r>
            <w:r w:rsidRPr="008C3CD8">
              <w:t xml:space="preserve"> aussi longtemps que les circonstances visées au paragraphe 1 persistent.</w:t>
            </w:r>
          </w:p>
        </w:tc>
        <w:tc>
          <w:tcPr>
            <w:tcW w:w="4876" w:type="dxa"/>
            <w:tcBorders>
              <w:top w:val="nil"/>
              <w:left w:val="nil"/>
              <w:bottom w:val="nil"/>
              <w:right w:val="nil"/>
            </w:tcBorders>
          </w:tcPr>
          <w:p w14:paraId="1CA2659E" w14:textId="77777777" w:rsidR="004D1EC1" w:rsidRPr="008C3CD8" w:rsidRDefault="004D1EC1" w:rsidP="00B309B3">
            <w:pPr>
              <w:pStyle w:val="Normal6a"/>
            </w:pPr>
            <w:r w:rsidRPr="008C3CD8">
              <w:t>2.</w:t>
            </w:r>
            <w:r w:rsidRPr="008C3CD8">
              <w:tab/>
            </w:r>
            <w:r w:rsidRPr="008C3CD8">
              <w:rPr>
                <w:b/>
                <w:i/>
              </w:rPr>
              <w:t>Les actes délégués visés</w:t>
            </w:r>
            <w:r w:rsidRPr="008C3CD8">
              <w:t xml:space="preserve"> au paragraphe 1 </w:t>
            </w:r>
            <w:r w:rsidRPr="008C3CD8">
              <w:rPr>
                <w:b/>
                <w:i/>
              </w:rPr>
              <w:t>s’appliquent</w:t>
            </w:r>
            <w:r w:rsidRPr="008C3CD8">
              <w:t xml:space="preserve"> aussi longtemps que les circonstances visées au paragraphe 1 persistent </w:t>
            </w:r>
            <w:r w:rsidRPr="008C3CD8">
              <w:rPr>
                <w:b/>
                <w:i/>
              </w:rPr>
              <w:t>et, en tout état de cause, jusqu’au 31 décembre 2028 au plus tard.</w:t>
            </w:r>
            <w:r w:rsidRPr="008C3CD8">
              <w:t xml:space="preserve"> </w:t>
            </w:r>
            <w:r w:rsidRPr="008C3CD8">
              <w:rPr>
                <w:b/>
                <w:i/>
              </w:rPr>
              <w:t>Lorsque la Commission conclut que les raisons qui justifient une suspension ont cessé de s’appliquer, elle est habilitée à adopter des actes délégués, conformément à l’article 3 bis, afin de modifier le présent règlement pour rétablir l’application de l’article 1</w:t>
            </w:r>
            <w:r w:rsidRPr="008C3CD8">
              <w:rPr>
                <w:b/>
                <w:i/>
                <w:vertAlign w:val="superscript"/>
              </w:rPr>
              <w:t>er</w:t>
            </w:r>
            <w:r w:rsidRPr="008C3CD8">
              <w:rPr>
                <w:b/>
                <w:i/>
              </w:rPr>
              <w:t xml:space="preserve"> ou, dans les cas visés au paragraphe 1, deuxième alinéa, du présent article, afin de modifier l’annexe en conséquence.</w:t>
            </w:r>
          </w:p>
        </w:tc>
      </w:tr>
    </w:tbl>
    <w:p w14:paraId="1C8EA3D2" w14:textId="77777777" w:rsidR="004D1EC1" w:rsidRPr="0077135F" w:rsidRDefault="004D1EC1" w:rsidP="004D1EC1">
      <w:pPr>
        <w:rPr>
          <w:lang w:val="de-DE"/>
        </w:rPr>
      </w:pPr>
      <w:r w:rsidRPr="0077135F">
        <w:rPr>
          <w:rStyle w:val="HideTWBExt"/>
          <w:lang w:val="de-DE"/>
        </w:rPr>
        <w:t>&lt;/Amend&gt;</w:t>
      </w:r>
    </w:p>
    <w:p w14:paraId="272F6C5C"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13</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615CBA52"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3D64BEC5" w14:textId="77777777" w:rsidR="004D1EC1" w:rsidRPr="008C3CD8" w:rsidRDefault="004D1EC1" w:rsidP="004D1EC1">
      <w:pPr>
        <w:pStyle w:val="NormalBold"/>
      </w:pPr>
      <w:r w:rsidRPr="008C3CD8">
        <w:rPr>
          <w:rStyle w:val="HideTWBExt"/>
          <w:b w:val="0"/>
        </w:rPr>
        <w:t>&lt;Article&gt;</w:t>
      </w:r>
      <w:r w:rsidRPr="008C3CD8">
        <w:t>Article 3</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19AC7BF3" w14:textId="77777777" w:rsidTr="00B309B3">
        <w:trPr>
          <w:trHeight w:hRule="exact" w:val="240"/>
          <w:jc w:val="center"/>
        </w:trPr>
        <w:tc>
          <w:tcPr>
            <w:tcW w:w="9752" w:type="dxa"/>
            <w:gridSpan w:val="2"/>
            <w:tcBorders>
              <w:top w:val="nil"/>
              <w:left w:val="nil"/>
              <w:bottom w:val="nil"/>
              <w:right w:val="nil"/>
            </w:tcBorders>
          </w:tcPr>
          <w:p w14:paraId="5CF76362" w14:textId="77777777" w:rsidR="004D1EC1" w:rsidRPr="008C3CD8" w:rsidRDefault="004D1EC1" w:rsidP="00B309B3"/>
        </w:tc>
      </w:tr>
      <w:tr w:rsidR="004D1EC1" w:rsidRPr="008C3CD8" w14:paraId="7E2439A3" w14:textId="77777777" w:rsidTr="00B309B3">
        <w:trPr>
          <w:trHeight w:val="240"/>
          <w:jc w:val="center"/>
        </w:trPr>
        <w:tc>
          <w:tcPr>
            <w:tcW w:w="4876" w:type="dxa"/>
            <w:tcBorders>
              <w:top w:val="nil"/>
              <w:left w:val="nil"/>
              <w:bottom w:val="nil"/>
              <w:right w:val="nil"/>
            </w:tcBorders>
          </w:tcPr>
          <w:p w14:paraId="091BC87C"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09E70129" w14:textId="77777777" w:rsidR="004D1EC1" w:rsidRPr="008C3CD8" w:rsidRDefault="004D1EC1" w:rsidP="00B309B3">
            <w:pPr>
              <w:pStyle w:val="AmColumnHeading"/>
            </w:pPr>
            <w:r w:rsidRPr="008C3CD8">
              <w:t>Amendement</w:t>
            </w:r>
          </w:p>
        </w:tc>
      </w:tr>
      <w:tr w:rsidR="004D1EC1" w:rsidRPr="008C3CD8" w14:paraId="43E239E2" w14:textId="77777777" w:rsidTr="00B309B3">
        <w:trPr>
          <w:jc w:val="center"/>
        </w:trPr>
        <w:tc>
          <w:tcPr>
            <w:tcW w:w="4876" w:type="dxa"/>
            <w:tcBorders>
              <w:top w:val="nil"/>
              <w:left w:val="nil"/>
              <w:bottom w:val="nil"/>
              <w:right w:val="nil"/>
            </w:tcBorders>
          </w:tcPr>
          <w:p w14:paraId="4EC427D0" w14:textId="77777777" w:rsidR="004D1EC1" w:rsidRPr="008C3CD8" w:rsidRDefault="004D1EC1" w:rsidP="00B309B3">
            <w:pPr>
              <w:pStyle w:val="Normal6a"/>
              <w:jc w:val="center"/>
            </w:pPr>
            <w:r w:rsidRPr="008C3CD8">
              <w:rPr>
                <w:b/>
                <w:i/>
              </w:rPr>
              <w:t>Article 3</w:t>
            </w:r>
          </w:p>
        </w:tc>
        <w:tc>
          <w:tcPr>
            <w:tcW w:w="4876" w:type="dxa"/>
            <w:tcBorders>
              <w:top w:val="nil"/>
              <w:left w:val="nil"/>
              <w:bottom w:val="nil"/>
              <w:right w:val="nil"/>
            </w:tcBorders>
          </w:tcPr>
          <w:p w14:paraId="56382B4E" w14:textId="77777777" w:rsidR="004D1EC1" w:rsidRPr="008C3CD8" w:rsidRDefault="004D1EC1" w:rsidP="00B309B3">
            <w:pPr>
              <w:pStyle w:val="Normal6a"/>
            </w:pPr>
            <w:r w:rsidRPr="008C3CD8">
              <w:rPr>
                <w:b/>
                <w:i/>
              </w:rPr>
              <w:t>supprimé</w:t>
            </w:r>
          </w:p>
        </w:tc>
      </w:tr>
      <w:tr w:rsidR="004D1EC1" w:rsidRPr="008C3CD8" w14:paraId="45540EB2" w14:textId="77777777" w:rsidTr="00B309B3">
        <w:trPr>
          <w:jc w:val="center"/>
        </w:trPr>
        <w:tc>
          <w:tcPr>
            <w:tcW w:w="4876" w:type="dxa"/>
            <w:tcBorders>
              <w:top w:val="nil"/>
              <w:left w:val="nil"/>
              <w:bottom w:val="nil"/>
              <w:right w:val="nil"/>
            </w:tcBorders>
          </w:tcPr>
          <w:p w14:paraId="58D3782E" w14:textId="77777777" w:rsidR="004D1EC1" w:rsidRPr="008C3CD8" w:rsidRDefault="004D1EC1" w:rsidP="00B309B3">
            <w:pPr>
              <w:pStyle w:val="Normal6a"/>
              <w:jc w:val="center"/>
            </w:pPr>
            <w:r w:rsidRPr="008C3CD8">
              <w:rPr>
                <w:b/>
                <w:i/>
              </w:rPr>
              <w:lastRenderedPageBreak/>
              <w:t>Comité</w:t>
            </w:r>
          </w:p>
        </w:tc>
        <w:tc>
          <w:tcPr>
            <w:tcW w:w="4876" w:type="dxa"/>
            <w:tcBorders>
              <w:top w:val="nil"/>
              <w:left w:val="nil"/>
              <w:bottom w:val="nil"/>
              <w:right w:val="nil"/>
            </w:tcBorders>
          </w:tcPr>
          <w:p w14:paraId="43B657D3" w14:textId="77777777" w:rsidR="004D1EC1" w:rsidRPr="008C3CD8" w:rsidRDefault="004D1EC1" w:rsidP="00B309B3">
            <w:pPr>
              <w:pStyle w:val="Normal6a"/>
            </w:pPr>
          </w:p>
        </w:tc>
      </w:tr>
      <w:tr w:rsidR="004D1EC1" w:rsidRPr="008C3CD8" w14:paraId="05D20017" w14:textId="77777777" w:rsidTr="00B309B3">
        <w:trPr>
          <w:jc w:val="center"/>
        </w:trPr>
        <w:tc>
          <w:tcPr>
            <w:tcW w:w="4876" w:type="dxa"/>
            <w:tcBorders>
              <w:top w:val="nil"/>
              <w:left w:val="nil"/>
              <w:bottom w:val="nil"/>
              <w:right w:val="nil"/>
            </w:tcBorders>
          </w:tcPr>
          <w:p w14:paraId="44C4A2B9" w14:textId="77777777" w:rsidR="004D1EC1" w:rsidRPr="008C3CD8" w:rsidRDefault="004D1EC1" w:rsidP="00B309B3">
            <w:pPr>
              <w:pStyle w:val="Normal6a"/>
            </w:pPr>
            <w:r w:rsidRPr="008C3CD8">
              <w:rPr>
                <w:b/>
                <w:i/>
              </w:rPr>
              <w:t>1.</w:t>
            </w:r>
            <w:r w:rsidRPr="008C3CD8">
              <w:rPr>
                <w:b/>
                <w:i/>
              </w:rPr>
              <w:tab/>
              <w:t>La Commission est assistée par le comité des barrières commerciales institué en vertu de l’article 7 du règlement (UE) nº 2015/1843 du Parlement européen et du Conseil</w:t>
            </w:r>
            <w:r w:rsidRPr="008C3CD8">
              <w:rPr>
                <w:b/>
                <w:i/>
                <w:vertAlign w:val="superscript"/>
              </w:rPr>
              <w:t>4</w:t>
            </w:r>
            <w:r w:rsidRPr="008C3CD8">
              <w:rPr>
                <w:b/>
                <w:i/>
              </w:rPr>
              <w:t>.</w:t>
            </w:r>
          </w:p>
        </w:tc>
        <w:tc>
          <w:tcPr>
            <w:tcW w:w="4876" w:type="dxa"/>
            <w:tcBorders>
              <w:top w:val="nil"/>
              <w:left w:val="nil"/>
              <w:bottom w:val="nil"/>
              <w:right w:val="nil"/>
            </w:tcBorders>
          </w:tcPr>
          <w:p w14:paraId="46A367CD" w14:textId="77777777" w:rsidR="004D1EC1" w:rsidRPr="008C3CD8" w:rsidRDefault="004D1EC1" w:rsidP="00B309B3">
            <w:pPr>
              <w:pStyle w:val="Normal6a"/>
            </w:pPr>
          </w:p>
        </w:tc>
      </w:tr>
      <w:tr w:rsidR="004D1EC1" w:rsidRPr="008C3CD8" w14:paraId="042545AB" w14:textId="77777777" w:rsidTr="00B309B3">
        <w:trPr>
          <w:jc w:val="center"/>
        </w:trPr>
        <w:tc>
          <w:tcPr>
            <w:tcW w:w="4876" w:type="dxa"/>
            <w:tcBorders>
              <w:top w:val="nil"/>
              <w:left w:val="nil"/>
              <w:bottom w:val="nil"/>
              <w:right w:val="nil"/>
            </w:tcBorders>
          </w:tcPr>
          <w:p w14:paraId="645A12F3" w14:textId="77777777" w:rsidR="004D1EC1" w:rsidRPr="008C3CD8" w:rsidRDefault="004D1EC1" w:rsidP="00B309B3">
            <w:pPr>
              <w:pStyle w:val="Normal6a"/>
            </w:pPr>
            <w:r w:rsidRPr="008C3CD8">
              <w:rPr>
                <w:b/>
                <w:i/>
              </w:rPr>
              <w:t>2.</w:t>
            </w:r>
            <w:r w:rsidRPr="008C3CD8">
              <w:rPr>
                <w:b/>
                <w:i/>
              </w:rPr>
              <w:tab/>
              <w:t>Lorsqu’il est fait référence au présent paragraphe, l’article 5 du règlement (UE) nº 182/2011 s’applique.</w:t>
            </w:r>
          </w:p>
        </w:tc>
        <w:tc>
          <w:tcPr>
            <w:tcW w:w="4876" w:type="dxa"/>
            <w:tcBorders>
              <w:top w:val="nil"/>
              <w:left w:val="nil"/>
              <w:bottom w:val="nil"/>
              <w:right w:val="nil"/>
            </w:tcBorders>
          </w:tcPr>
          <w:p w14:paraId="6E95CEA3" w14:textId="77777777" w:rsidR="004D1EC1" w:rsidRPr="008C3CD8" w:rsidRDefault="004D1EC1" w:rsidP="00B309B3">
            <w:pPr>
              <w:pStyle w:val="Normal6a"/>
            </w:pPr>
          </w:p>
        </w:tc>
      </w:tr>
      <w:tr w:rsidR="004D1EC1" w:rsidRPr="008C3CD8" w14:paraId="6DFBF4A9" w14:textId="77777777" w:rsidTr="00B309B3">
        <w:trPr>
          <w:jc w:val="center"/>
        </w:trPr>
        <w:tc>
          <w:tcPr>
            <w:tcW w:w="4876" w:type="dxa"/>
            <w:tcBorders>
              <w:top w:val="nil"/>
              <w:left w:val="nil"/>
              <w:bottom w:val="nil"/>
              <w:right w:val="nil"/>
            </w:tcBorders>
          </w:tcPr>
          <w:p w14:paraId="24EE6DBD" w14:textId="77777777" w:rsidR="004D1EC1" w:rsidRPr="008C3CD8" w:rsidRDefault="004D1EC1" w:rsidP="00B309B3">
            <w:pPr>
              <w:pStyle w:val="Normal6a"/>
            </w:pPr>
            <w:r w:rsidRPr="008C3CD8">
              <w:rPr>
                <w:b/>
                <w:i/>
              </w:rPr>
              <w:t>_________________</w:t>
            </w:r>
          </w:p>
        </w:tc>
        <w:tc>
          <w:tcPr>
            <w:tcW w:w="4876" w:type="dxa"/>
            <w:tcBorders>
              <w:top w:val="nil"/>
              <w:left w:val="nil"/>
              <w:bottom w:val="nil"/>
              <w:right w:val="nil"/>
            </w:tcBorders>
          </w:tcPr>
          <w:p w14:paraId="69F4C379" w14:textId="77777777" w:rsidR="004D1EC1" w:rsidRPr="008C3CD8" w:rsidRDefault="004D1EC1" w:rsidP="00B309B3"/>
        </w:tc>
      </w:tr>
      <w:tr w:rsidR="004D1EC1" w:rsidRPr="008C3CD8" w14:paraId="59AF150D" w14:textId="77777777" w:rsidTr="00B309B3">
        <w:trPr>
          <w:jc w:val="center"/>
        </w:trPr>
        <w:tc>
          <w:tcPr>
            <w:tcW w:w="4876" w:type="dxa"/>
            <w:tcBorders>
              <w:top w:val="nil"/>
              <w:left w:val="nil"/>
              <w:bottom w:val="nil"/>
              <w:right w:val="nil"/>
            </w:tcBorders>
          </w:tcPr>
          <w:p w14:paraId="75E5F353" w14:textId="77777777" w:rsidR="004D1EC1" w:rsidRPr="008C3CD8" w:rsidRDefault="004D1EC1" w:rsidP="00B309B3">
            <w:pPr>
              <w:pStyle w:val="Normal6a"/>
            </w:pPr>
            <w:r w:rsidRPr="008C3CD8">
              <w:rPr>
                <w:vertAlign w:val="superscript"/>
              </w:rPr>
              <w:t>4</w:t>
            </w:r>
            <w:r w:rsidRPr="008C3CD8">
              <w:t xml:space="preserve"> </w:t>
            </w:r>
            <w:r w:rsidRPr="008C3CD8">
              <w:rPr>
                <w:b/>
                <w:i/>
              </w:rPr>
              <w:t>Règlement (UE) 2015/1843 du Parlement européen et du Conseil du 6 octobre 2015 arrêtant des procédures de l’Union en matière de politique commerciale commune en vue d’assurer l’exercice par l’Union des droits qui lui sont conférés par les règles du commerce international, en particulier celles instituées sous l’égide de l’Organisation mondiale du commerce (OMC) (JO L 272 du 16.10.2015, p. 1, ELI: http://data.europa.eu/eli/reg/2015/1843/oj).</w:t>
            </w:r>
          </w:p>
        </w:tc>
        <w:tc>
          <w:tcPr>
            <w:tcW w:w="4876" w:type="dxa"/>
            <w:tcBorders>
              <w:top w:val="nil"/>
              <w:left w:val="nil"/>
              <w:bottom w:val="nil"/>
              <w:right w:val="nil"/>
            </w:tcBorders>
          </w:tcPr>
          <w:p w14:paraId="11B4A1C7" w14:textId="77777777" w:rsidR="004D1EC1" w:rsidRPr="008C3CD8" w:rsidRDefault="004D1EC1" w:rsidP="00B309B3"/>
        </w:tc>
      </w:tr>
    </w:tbl>
    <w:p w14:paraId="2CC771AF" w14:textId="77777777" w:rsidR="004D1EC1" w:rsidRPr="0077135F" w:rsidRDefault="004D1EC1" w:rsidP="004D1EC1">
      <w:pPr>
        <w:rPr>
          <w:lang w:val="de-DE"/>
        </w:rPr>
      </w:pPr>
      <w:r w:rsidRPr="0077135F">
        <w:rPr>
          <w:rStyle w:val="HideTWBExt"/>
          <w:lang w:val="de-DE"/>
        </w:rPr>
        <w:t>&lt;/Amend&gt;</w:t>
      </w:r>
    </w:p>
    <w:p w14:paraId="7A6117DE"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14</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79DDA2EB"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46C01A91" w14:textId="77777777" w:rsidR="004D1EC1" w:rsidRPr="008C3CD8" w:rsidRDefault="004D1EC1" w:rsidP="004D1EC1">
      <w:pPr>
        <w:pStyle w:val="NormalBold"/>
      </w:pPr>
      <w:r w:rsidRPr="008C3CD8">
        <w:rPr>
          <w:rStyle w:val="HideTWBExt"/>
          <w:b w:val="0"/>
        </w:rPr>
        <w:t>&lt;Article&gt;</w:t>
      </w:r>
      <w:r w:rsidRPr="008C3CD8">
        <w:t>Article 3 bis (nouveau)</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5C4D630A" w14:textId="77777777" w:rsidTr="00B309B3">
        <w:trPr>
          <w:trHeight w:hRule="exact" w:val="240"/>
          <w:jc w:val="center"/>
        </w:trPr>
        <w:tc>
          <w:tcPr>
            <w:tcW w:w="9752" w:type="dxa"/>
            <w:gridSpan w:val="2"/>
            <w:tcBorders>
              <w:top w:val="nil"/>
              <w:left w:val="nil"/>
              <w:bottom w:val="nil"/>
              <w:right w:val="nil"/>
            </w:tcBorders>
          </w:tcPr>
          <w:p w14:paraId="52C7F6A1" w14:textId="77777777" w:rsidR="004D1EC1" w:rsidRPr="008C3CD8" w:rsidRDefault="004D1EC1" w:rsidP="00B309B3"/>
        </w:tc>
      </w:tr>
      <w:tr w:rsidR="004D1EC1" w:rsidRPr="008C3CD8" w14:paraId="258E623D" w14:textId="77777777" w:rsidTr="00B309B3">
        <w:trPr>
          <w:trHeight w:val="240"/>
          <w:jc w:val="center"/>
        </w:trPr>
        <w:tc>
          <w:tcPr>
            <w:tcW w:w="4876" w:type="dxa"/>
            <w:tcBorders>
              <w:top w:val="nil"/>
              <w:left w:val="nil"/>
              <w:bottom w:val="nil"/>
              <w:right w:val="nil"/>
            </w:tcBorders>
          </w:tcPr>
          <w:p w14:paraId="1FDD6DB2"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0CC61132" w14:textId="77777777" w:rsidR="004D1EC1" w:rsidRPr="008C3CD8" w:rsidRDefault="004D1EC1" w:rsidP="00B309B3">
            <w:pPr>
              <w:pStyle w:val="AmColumnHeading"/>
            </w:pPr>
            <w:r w:rsidRPr="008C3CD8">
              <w:t>Amendement</w:t>
            </w:r>
          </w:p>
        </w:tc>
      </w:tr>
      <w:tr w:rsidR="004D1EC1" w:rsidRPr="008C3CD8" w14:paraId="1B603E8A" w14:textId="77777777" w:rsidTr="00B309B3">
        <w:trPr>
          <w:jc w:val="center"/>
        </w:trPr>
        <w:tc>
          <w:tcPr>
            <w:tcW w:w="4876" w:type="dxa"/>
            <w:tcBorders>
              <w:top w:val="nil"/>
              <w:left w:val="nil"/>
              <w:bottom w:val="nil"/>
              <w:right w:val="nil"/>
            </w:tcBorders>
          </w:tcPr>
          <w:p w14:paraId="625B850A" w14:textId="77777777" w:rsidR="004D1EC1" w:rsidRPr="008C3CD8" w:rsidRDefault="004D1EC1" w:rsidP="00B309B3">
            <w:pPr>
              <w:pStyle w:val="Normal6a"/>
            </w:pPr>
          </w:p>
        </w:tc>
        <w:tc>
          <w:tcPr>
            <w:tcW w:w="4876" w:type="dxa"/>
            <w:tcBorders>
              <w:top w:val="nil"/>
              <w:left w:val="nil"/>
              <w:bottom w:val="nil"/>
              <w:right w:val="nil"/>
            </w:tcBorders>
          </w:tcPr>
          <w:p w14:paraId="6C0BCA64" w14:textId="77777777" w:rsidR="004D1EC1" w:rsidRPr="008C3CD8" w:rsidRDefault="004D1EC1" w:rsidP="00B309B3">
            <w:pPr>
              <w:pStyle w:val="Normal6a"/>
              <w:jc w:val="center"/>
            </w:pPr>
            <w:r w:rsidRPr="008C3CD8">
              <w:rPr>
                <w:b/>
                <w:i/>
              </w:rPr>
              <w:t>Article 3 bis</w:t>
            </w:r>
          </w:p>
        </w:tc>
      </w:tr>
      <w:tr w:rsidR="004D1EC1" w:rsidRPr="008C3CD8" w14:paraId="72B78DAC" w14:textId="77777777" w:rsidTr="00B309B3">
        <w:trPr>
          <w:jc w:val="center"/>
        </w:trPr>
        <w:tc>
          <w:tcPr>
            <w:tcW w:w="4876" w:type="dxa"/>
            <w:tcBorders>
              <w:top w:val="nil"/>
              <w:left w:val="nil"/>
              <w:bottom w:val="nil"/>
              <w:right w:val="nil"/>
            </w:tcBorders>
          </w:tcPr>
          <w:p w14:paraId="564BF04D" w14:textId="77777777" w:rsidR="004D1EC1" w:rsidRPr="008C3CD8" w:rsidRDefault="004D1EC1" w:rsidP="00B309B3">
            <w:pPr>
              <w:pStyle w:val="Normal6a"/>
            </w:pPr>
          </w:p>
        </w:tc>
        <w:tc>
          <w:tcPr>
            <w:tcW w:w="4876" w:type="dxa"/>
            <w:tcBorders>
              <w:top w:val="nil"/>
              <w:left w:val="nil"/>
              <w:bottom w:val="nil"/>
              <w:right w:val="nil"/>
            </w:tcBorders>
          </w:tcPr>
          <w:p w14:paraId="3A4E8E58" w14:textId="77777777" w:rsidR="004D1EC1" w:rsidRPr="008C3CD8" w:rsidRDefault="004D1EC1" w:rsidP="00B309B3">
            <w:pPr>
              <w:pStyle w:val="Normal6a"/>
              <w:jc w:val="center"/>
            </w:pPr>
            <w:r w:rsidRPr="008C3CD8">
              <w:rPr>
                <w:b/>
                <w:i/>
              </w:rPr>
              <w:t>Exercice de la délégation</w:t>
            </w:r>
          </w:p>
        </w:tc>
      </w:tr>
      <w:tr w:rsidR="004D1EC1" w:rsidRPr="008C3CD8" w14:paraId="56164193" w14:textId="77777777" w:rsidTr="00B309B3">
        <w:trPr>
          <w:jc w:val="center"/>
        </w:trPr>
        <w:tc>
          <w:tcPr>
            <w:tcW w:w="4876" w:type="dxa"/>
            <w:tcBorders>
              <w:top w:val="nil"/>
              <w:left w:val="nil"/>
              <w:bottom w:val="nil"/>
              <w:right w:val="nil"/>
            </w:tcBorders>
          </w:tcPr>
          <w:p w14:paraId="06C2F92C" w14:textId="77777777" w:rsidR="004D1EC1" w:rsidRPr="008C3CD8" w:rsidRDefault="004D1EC1" w:rsidP="00B309B3">
            <w:pPr>
              <w:pStyle w:val="Normal6a"/>
            </w:pPr>
          </w:p>
        </w:tc>
        <w:tc>
          <w:tcPr>
            <w:tcW w:w="4876" w:type="dxa"/>
            <w:tcBorders>
              <w:top w:val="nil"/>
              <w:left w:val="nil"/>
              <w:bottom w:val="nil"/>
              <w:right w:val="nil"/>
            </w:tcBorders>
          </w:tcPr>
          <w:p w14:paraId="00DDBFDD" w14:textId="77777777" w:rsidR="004D1EC1" w:rsidRPr="008C3CD8" w:rsidRDefault="004D1EC1" w:rsidP="00B309B3">
            <w:pPr>
              <w:pStyle w:val="Normal6a"/>
            </w:pPr>
            <w:r w:rsidRPr="008C3CD8">
              <w:rPr>
                <w:b/>
                <w:i/>
              </w:rPr>
              <w:t>1.</w:t>
            </w:r>
            <w:r w:rsidRPr="008C3CD8">
              <w:rPr>
                <w:b/>
                <w:i/>
              </w:rPr>
              <w:tab/>
              <w:t>Le pouvoir d’adopter des actes délégués conféré à la Commission est soumis aux conditions fixées au présent article.</w:t>
            </w:r>
          </w:p>
        </w:tc>
      </w:tr>
      <w:tr w:rsidR="004D1EC1" w:rsidRPr="008C3CD8" w14:paraId="343EFA4C" w14:textId="77777777" w:rsidTr="00B309B3">
        <w:trPr>
          <w:jc w:val="center"/>
        </w:trPr>
        <w:tc>
          <w:tcPr>
            <w:tcW w:w="4876" w:type="dxa"/>
            <w:tcBorders>
              <w:top w:val="nil"/>
              <w:left w:val="nil"/>
              <w:bottom w:val="nil"/>
              <w:right w:val="nil"/>
            </w:tcBorders>
          </w:tcPr>
          <w:p w14:paraId="2EDE7866" w14:textId="77777777" w:rsidR="004D1EC1" w:rsidRPr="008C3CD8" w:rsidRDefault="004D1EC1" w:rsidP="00B309B3">
            <w:pPr>
              <w:pStyle w:val="Normal6a"/>
            </w:pPr>
          </w:p>
        </w:tc>
        <w:tc>
          <w:tcPr>
            <w:tcW w:w="4876" w:type="dxa"/>
            <w:tcBorders>
              <w:top w:val="nil"/>
              <w:left w:val="nil"/>
              <w:bottom w:val="nil"/>
              <w:right w:val="nil"/>
            </w:tcBorders>
          </w:tcPr>
          <w:p w14:paraId="27BDB7C0" w14:textId="77777777" w:rsidR="004D1EC1" w:rsidRPr="008C3CD8" w:rsidRDefault="004D1EC1" w:rsidP="00B309B3">
            <w:pPr>
              <w:pStyle w:val="Normal6a"/>
            </w:pPr>
            <w:r w:rsidRPr="008C3CD8">
              <w:rPr>
                <w:b/>
                <w:i/>
              </w:rPr>
              <w:t>2.</w:t>
            </w:r>
            <w:r w:rsidRPr="008C3CD8">
              <w:rPr>
                <w:b/>
                <w:i/>
              </w:rPr>
              <w:tab/>
              <w:t>Le pouvoir d’adopter les actes délégués visés à l’article 2 est conféré à la Commission à compter du ... [date d’entrée en vigueur du présent règlement] et jusqu’au 31 décembre 2028.</w:t>
            </w:r>
          </w:p>
        </w:tc>
      </w:tr>
      <w:tr w:rsidR="004D1EC1" w:rsidRPr="008C3CD8" w14:paraId="1928B14F" w14:textId="77777777" w:rsidTr="00B309B3">
        <w:trPr>
          <w:jc w:val="center"/>
        </w:trPr>
        <w:tc>
          <w:tcPr>
            <w:tcW w:w="4876" w:type="dxa"/>
            <w:tcBorders>
              <w:top w:val="nil"/>
              <w:left w:val="nil"/>
              <w:bottom w:val="nil"/>
              <w:right w:val="nil"/>
            </w:tcBorders>
          </w:tcPr>
          <w:p w14:paraId="6F14FC44" w14:textId="77777777" w:rsidR="004D1EC1" w:rsidRPr="008C3CD8" w:rsidRDefault="004D1EC1" w:rsidP="00B309B3">
            <w:pPr>
              <w:pStyle w:val="Normal6a"/>
            </w:pPr>
          </w:p>
        </w:tc>
        <w:tc>
          <w:tcPr>
            <w:tcW w:w="4876" w:type="dxa"/>
            <w:tcBorders>
              <w:top w:val="nil"/>
              <w:left w:val="nil"/>
              <w:bottom w:val="nil"/>
              <w:right w:val="nil"/>
            </w:tcBorders>
          </w:tcPr>
          <w:p w14:paraId="131EA18F" w14:textId="77777777" w:rsidR="004D1EC1" w:rsidRPr="008C3CD8" w:rsidRDefault="004D1EC1" w:rsidP="00B309B3">
            <w:pPr>
              <w:pStyle w:val="Normal6a"/>
            </w:pPr>
            <w:r w:rsidRPr="008C3CD8">
              <w:rPr>
                <w:b/>
                <w:i/>
              </w:rPr>
              <w:t>3.</w:t>
            </w:r>
            <w:r w:rsidRPr="008C3CD8">
              <w:rPr>
                <w:b/>
                <w:i/>
              </w:rPr>
              <w:tab/>
              <w:t xml:space="preserve">La délégation de pouvoir visée à l’article 2 peut être révoquée à tout moment par le Parlement européen ou le Conseil. La décision de révocation met fin à la délégation de pouvoir qui y est </w:t>
            </w:r>
            <w:r w:rsidRPr="008C3CD8">
              <w:rPr>
                <w:b/>
                <w:i/>
              </w:rPr>
              <w:lastRenderedPageBreak/>
              <w:t>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4D1EC1" w:rsidRPr="008C3CD8" w14:paraId="7EB36ED3" w14:textId="77777777" w:rsidTr="00B309B3">
        <w:trPr>
          <w:jc w:val="center"/>
        </w:trPr>
        <w:tc>
          <w:tcPr>
            <w:tcW w:w="4876" w:type="dxa"/>
            <w:tcBorders>
              <w:top w:val="nil"/>
              <w:left w:val="nil"/>
              <w:bottom w:val="nil"/>
              <w:right w:val="nil"/>
            </w:tcBorders>
          </w:tcPr>
          <w:p w14:paraId="4926ECAE" w14:textId="77777777" w:rsidR="004D1EC1" w:rsidRPr="008C3CD8" w:rsidRDefault="004D1EC1" w:rsidP="00B309B3">
            <w:pPr>
              <w:pStyle w:val="Normal6a"/>
            </w:pPr>
          </w:p>
        </w:tc>
        <w:tc>
          <w:tcPr>
            <w:tcW w:w="4876" w:type="dxa"/>
            <w:tcBorders>
              <w:top w:val="nil"/>
              <w:left w:val="nil"/>
              <w:bottom w:val="nil"/>
              <w:right w:val="nil"/>
            </w:tcBorders>
          </w:tcPr>
          <w:p w14:paraId="7552A5E6" w14:textId="77777777" w:rsidR="004D1EC1" w:rsidRPr="008C3CD8" w:rsidRDefault="004D1EC1" w:rsidP="00B309B3">
            <w:pPr>
              <w:pStyle w:val="Normal6a"/>
            </w:pPr>
            <w:r w:rsidRPr="008C3CD8">
              <w:rPr>
                <w:b/>
                <w:i/>
              </w:rPr>
              <w:t>4.</w:t>
            </w:r>
            <w:r w:rsidRPr="008C3CD8">
              <w:rPr>
                <w:b/>
                <w:i/>
              </w:rPr>
              <w:tab/>
              <w:t>Avant l’adoption d’un acte délégué, la Commission consulte les experts désignés par chaque État membre, conformément aux principes définis dans l’accord interinstitutionnel du 13 avril 2016 «Mieux légiférer».</w:t>
            </w:r>
          </w:p>
        </w:tc>
      </w:tr>
      <w:tr w:rsidR="004D1EC1" w:rsidRPr="008C3CD8" w14:paraId="749417AE" w14:textId="77777777" w:rsidTr="00B309B3">
        <w:trPr>
          <w:jc w:val="center"/>
        </w:trPr>
        <w:tc>
          <w:tcPr>
            <w:tcW w:w="4876" w:type="dxa"/>
            <w:tcBorders>
              <w:top w:val="nil"/>
              <w:left w:val="nil"/>
              <w:bottom w:val="nil"/>
              <w:right w:val="nil"/>
            </w:tcBorders>
          </w:tcPr>
          <w:p w14:paraId="44AF81AC" w14:textId="77777777" w:rsidR="004D1EC1" w:rsidRPr="008C3CD8" w:rsidRDefault="004D1EC1" w:rsidP="00B309B3">
            <w:pPr>
              <w:pStyle w:val="Normal6a"/>
            </w:pPr>
          </w:p>
        </w:tc>
        <w:tc>
          <w:tcPr>
            <w:tcW w:w="4876" w:type="dxa"/>
            <w:tcBorders>
              <w:top w:val="nil"/>
              <w:left w:val="nil"/>
              <w:bottom w:val="nil"/>
              <w:right w:val="nil"/>
            </w:tcBorders>
          </w:tcPr>
          <w:p w14:paraId="1C0E886A" w14:textId="77777777" w:rsidR="004D1EC1" w:rsidRPr="008C3CD8" w:rsidRDefault="004D1EC1" w:rsidP="00B309B3">
            <w:pPr>
              <w:pStyle w:val="Normal6a"/>
            </w:pPr>
            <w:r w:rsidRPr="008C3CD8">
              <w:rPr>
                <w:b/>
                <w:i/>
              </w:rPr>
              <w:t>5.</w:t>
            </w:r>
            <w:r w:rsidRPr="008C3CD8">
              <w:rPr>
                <w:b/>
                <w:i/>
              </w:rPr>
              <w:tab/>
              <w:t>Aussitôt qu’elle adopte un acte délégué, la Commission le notifie au Parlement européen et au Conseil simultanément.</w:t>
            </w:r>
          </w:p>
        </w:tc>
      </w:tr>
      <w:tr w:rsidR="004D1EC1" w:rsidRPr="008C3CD8" w14:paraId="4D746704" w14:textId="77777777" w:rsidTr="00B309B3">
        <w:trPr>
          <w:jc w:val="center"/>
        </w:trPr>
        <w:tc>
          <w:tcPr>
            <w:tcW w:w="4876" w:type="dxa"/>
            <w:tcBorders>
              <w:top w:val="nil"/>
              <w:left w:val="nil"/>
              <w:bottom w:val="nil"/>
              <w:right w:val="nil"/>
            </w:tcBorders>
          </w:tcPr>
          <w:p w14:paraId="705D71DB" w14:textId="77777777" w:rsidR="004D1EC1" w:rsidRPr="008C3CD8" w:rsidRDefault="004D1EC1" w:rsidP="00B309B3">
            <w:pPr>
              <w:pStyle w:val="Normal6a"/>
            </w:pPr>
          </w:p>
        </w:tc>
        <w:tc>
          <w:tcPr>
            <w:tcW w:w="4876" w:type="dxa"/>
            <w:tcBorders>
              <w:top w:val="nil"/>
              <w:left w:val="nil"/>
              <w:bottom w:val="nil"/>
              <w:right w:val="nil"/>
            </w:tcBorders>
          </w:tcPr>
          <w:p w14:paraId="4BE5E44E" w14:textId="77777777" w:rsidR="004D1EC1" w:rsidRPr="008C3CD8" w:rsidRDefault="004D1EC1" w:rsidP="00B309B3">
            <w:pPr>
              <w:pStyle w:val="Normal6a"/>
            </w:pPr>
            <w:r w:rsidRPr="008C3CD8">
              <w:rPr>
                <w:b/>
                <w:i/>
              </w:rPr>
              <w:t>6.</w:t>
            </w:r>
            <w:r w:rsidRPr="008C3CD8">
              <w:rPr>
                <w:b/>
                <w:i/>
              </w:rPr>
              <w:tab/>
              <w:t>Un acte délégué adopté en vertu de l’article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14:paraId="05A0E6C3" w14:textId="77777777" w:rsidR="004D1EC1" w:rsidRPr="0077135F" w:rsidRDefault="004D1EC1" w:rsidP="004D1EC1">
      <w:pPr>
        <w:rPr>
          <w:lang w:val="de-DE"/>
        </w:rPr>
      </w:pPr>
      <w:r w:rsidRPr="0077135F">
        <w:rPr>
          <w:rStyle w:val="HideTWBExt"/>
          <w:lang w:val="de-DE"/>
        </w:rPr>
        <w:t>&lt;/Amend&gt;</w:t>
      </w:r>
    </w:p>
    <w:p w14:paraId="08C1864F"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15</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034A3269"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07C91FA" w14:textId="77777777" w:rsidR="004D1EC1" w:rsidRPr="008C3CD8" w:rsidRDefault="004D1EC1" w:rsidP="004D1EC1">
      <w:pPr>
        <w:pStyle w:val="NormalBold"/>
      </w:pPr>
      <w:r w:rsidRPr="008C3CD8">
        <w:rPr>
          <w:rStyle w:val="HideTWBExt"/>
          <w:b w:val="0"/>
        </w:rPr>
        <w:t>&lt;Article&gt;</w:t>
      </w:r>
      <w:r w:rsidRPr="008C3CD8">
        <w:t>Article 4 bis (nouveau)</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4DA673DE" w14:textId="77777777" w:rsidTr="00B309B3">
        <w:trPr>
          <w:trHeight w:hRule="exact" w:val="240"/>
          <w:jc w:val="center"/>
        </w:trPr>
        <w:tc>
          <w:tcPr>
            <w:tcW w:w="9752" w:type="dxa"/>
            <w:gridSpan w:val="2"/>
            <w:tcBorders>
              <w:top w:val="nil"/>
              <w:left w:val="nil"/>
              <w:bottom w:val="nil"/>
              <w:right w:val="nil"/>
            </w:tcBorders>
          </w:tcPr>
          <w:p w14:paraId="55F907A0" w14:textId="77777777" w:rsidR="004D1EC1" w:rsidRPr="008C3CD8" w:rsidRDefault="004D1EC1" w:rsidP="00B309B3"/>
        </w:tc>
      </w:tr>
      <w:tr w:rsidR="004D1EC1" w:rsidRPr="008C3CD8" w14:paraId="465E76FF" w14:textId="77777777" w:rsidTr="00B309B3">
        <w:trPr>
          <w:trHeight w:val="240"/>
          <w:jc w:val="center"/>
        </w:trPr>
        <w:tc>
          <w:tcPr>
            <w:tcW w:w="4876" w:type="dxa"/>
            <w:tcBorders>
              <w:top w:val="nil"/>
              <w:left w:val="nil"/>
              <w:bottom w:val="nil"/>
              <w:right w:val="nil"/>
            </w:tcBorders>
          </w:tcPr>
          <w:p w14:paraId="05B7F753"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7D97DF4D" w14:textId="77777777" w:rsidR="004D1EC1" w:rsidRPr="008C3CD8" w:rsidRDefault="004D1EC1" w:rsidP="00B309B3">
            <w:pPr>
              <w:pStyle w:val="AmColumnHeading"/>
            </w:pPr>
            <w:r w:rsidRPr="008C3CD8">
              <w:t>Amendement</w:t>
            </w:r>
          </w:p>
        </w:tc>
      </w:tr>
      <w:tr w:rsidR="004D1EC1" w:rsidRPr="008C3CD8" w14:paraId="2A71D35A" w14:textId="77777777" w:rsidTr="00B309B3">
        <w:trPr>
          <w:jc w:val="center"/>
        </w:trPr>
        <w:tc>
          <w:tcPr>
            <w:tcW w:w="4876" w:type="dxa"/>
            <w:tcBorders>
              <w:top w:val="nil"/>
              <w:left w:val="nil"/>
              <w:bottom w:val="nil"/>
              <w:right w:val="nil"/>
            </w:tcBorders>
          </w:tcPr>
          <w:p w14:paraId="3107EF60" w14:textId="77777777" w:rsidR="004D1EC1" w:rsidRPr="008C3CD8" w:rsidRDefault="004D1EC1" w:rsidP="00B309B3">
            <w:pPr>
              <w:pStyle w:val="Normal6a"/>
            </w:pPr>
          </w:p>
        </w:tc>
        <w:tc>
          <w:tcPr>
            <w:tcW w:w="4876" w:type="dxa"/>
            <w:tcBorders>
              <w:top w:val="nil"/>
              <w:left w:val="nil"/>
              <w:bottom w:val="nil"/>
              <w:right w:val="nil"/>
            </w:tcBorders>
          </w:tcPr>
          <w:p w14:paraId="18770E71" w14:textId="77777777" w:rsidR="004D1EC1" w:rsidRPr="008C3CD8" w:rsidRDefault="004D1EC1" w:rsidP="00B309B3">
            <w:pPr>
              <w:pStyle w:val="Normal6a"/>
              <w:jc w:val="center"/>
            </w:pPr>
            <w:r w:rsidRPr="008C3CD8">
              <w:rPr>
                <w:b/>
                <w:i/>
              </w:rPr>
              <w:t>Article 4 bis</w:t>
            </w:r>
          </w:p>
        </w:tc>
      </w:tr>
      <w:tr w:rsidR="004D1EC1" w:rsidRPr="008C3CD8" w14:paraId="0A8C76E8" w14:textId="77777777" w:rsidTr="00B309B3">
        <w:trPr>
          <w:jc w:val="center"/>
        </w:trPr>
        <w:tc>
          <w:tcPr>
            <w:tcW w:w="4876" w:type="dxa"/>
            <w:tcBorders>
              <w:top w:val="nil"/>
              <w:left w:val="nil"/>
              <w:bottom w:val="nil"/>
              <w:right w:val="nil"/>
            </w:tcBorders>
          </w:tcPr>
          <w:p w14:paraId="6BC5F66A" w14:textId="77777777" w:rsidR="004D1EC1" w:rsidRPr="008C3CD8" w:rsidRDefault="004D1EC1" w:rsidP="00B309B3">
            <w:pPr>
              <w:pStyle w:val="Normal6a"/>
            </w:pPr>
          </w:p>
        </w:tc>
        <w:tc>
          <w:tcPr>
            <w:tcW w:w="4876" w:type="dxa"/>
            <w:tcBorders>
              <w:top w:val="nil"/>
              <w:left w:val="nil"/>
              <w:bottom w:val="nil"/>
              <w:right w:val="nil"/>
            </w:tcBorders>
          </w:tcPr>
          <w:p w14:paraId="248B2EBB" w14:textId="77777777" w:rsidR="004D1EC1" w:rsidRPr="008C3CD8" w:rsidRDefault="004D1EC1" w:rsidP="00B309B3">
            <w:pPr>
              <w:pStyle w:val="Normal6a"/>
              <w:jc w:val="center"/>
            </w:pPr>
            <w:r w:rsidRPr="008C3CD8">
              <w:rPr>
                <w:b/>
                <w:i/>
              </w:rPr>
              <w:t>Évaluation et rapports</w:t>
            </w:r>
          </w:p>
        </w:tc>
      </w:tr>
      <w:tr w:rsidR="004D1EC1" w:rsidRPr="008C3CD8" w14:paraId="4B4FC4ED" w14:textId="77777777" w:rsidTr="00B309B3">
        <w:trPr>
          <w:jc w:val="center"/>
        </w:trPr>
        <w:tc>
          <w:tcPr>
            <w:tcW w:w="4876" w:type="dxa"/>
            <w:tcBorders>
              <w:top w:val="nil"/>
              <w:left w:val="nil"/>
              <w:bottom w:val="nil"/>
              <w:right w:val="nil"/>
            </w:tcBorders>
          </w:tcPr>
          <w:p w14:paraId="49BA53E2" w14:textId="77777777" w:rsidR="004D1EC1" w:rsidRPr="008C3CD8" w:rsidRDefault="004D1EC1" w:rsidP="00B309B3">
            <w:pPr>
              <w:pStyle w:val="Normal6a"/>
            </w:pPr>
          </w:p>
        </w:tc>
        <w:tc>
          <w:tcPr>
            <w:tcW w:w="4876" w:type="dxa"/>
            <w:tcBorders>
              <w:top w:val="nil"/>
              <w:left w:val="nil"/>
              <w:bottom w:val="nil"/>
              <w:right w:val="nil"/>
            </w:tcBorders>
          </w:tcPr>
          <w:p w14:paraId="0C30E863" w14:textId="77777777" w:rsidR="004D1EC1" w:rsidRPr="008C3CD8" w:rsidRDefault="004D1EC1" w:rsidP="00B309B3">
            <w:pPr>
              <w:pStyle w:val="Normal6a"/>
            </w:pPr>
            <w:r w:rsidRPr="008C3CD8">
              <w:rPr>
                <w:b/>
                <w:i/>
              </w:rPr>
              <w:t>1.</w:t>
            </w:r>
            <w:r w:rsidRPr="008C3CD8">
              <w:rPr>
                <w:b/>
                <w:i/>
              </w:rPr>
              <w:tab/>
              <w:t>Au plus tard le ... [six mois à compter de la date d’entrée en vigueur du présent règlement], la Commission publie un rapport d’évaluation provisoire sur l’incidence du présent règlement.</w:t>
            </w:r>
          </w:p>
        </w:tc>
      </w:tr>
      <w:tr w:rsidR="004D1EC1" w:rsidRPr="008C3CD8" w14:paraId="6FB748F1" w14:textId="77777777" w:rsidTr="00B309B3">
        <w:trPr>
          <w:jc w:val="center"/>
        </w:trPr>
        <w:tc>
          <w:tcPr>
            <w:tcW w:w="4876" w:type="dxa"/>
            <w:tcBorders>
              <w:top w:val="nil"/>
              <w:left w:val="nil"/>
              <w:bottom w:val="nil"/>
              <w:right w:val="nil"/>
            </w:tcBorders>
          </w:tcPr>
          <w:p w14:paraId="4E42A352" w14:textId="77777777" w:rsidR="004D1EC1" w:rsidRPr="008C3CD8" w:rsidRDefault="004D1EC1" w:rsidP="00B309B3">
            <w:pPr>
              <w:pStyle w:val="Normal6a"/>
            </w:pPr>
          </w:p>
        </w:tc>
        <w:tc>
          <w:tcPr>
            <w:tcW w:w="4876" w:type="dxa"/>
            <w:tcBorders>
              <w:top w:val="nil"/>
              <w:left w:val="nil"/>
              <w:bottom w:val="nil"/>
              <w:right w:val="nil"/>
            </w:tcBorders>
          </w:tcPr>
          <w:p w14:paraId="6D8057DA" w14:textId="77777777" w:rsidR="004D1EC1" w:rsidRPr="008C3CD8" w:rsidRDefault="004D1EC1" w:rsidP="00B309B3">
            <w:pPr>
              <w:pStyle w:val="Normal6a"/>
            </w:pPr>
            <w:r w:rsidRPr="008C3CD8">
              <w:rPr>
                <w:b/>
                <w:i/>
              </w:rPr>
              <w:t>2.</w:t>
            </w:r>
            <w:r w:rsidRPr="008C3CD8">
              <w:rPr>
                <w:b/>
                <w:i/>
              </w:rPr>
              <w:tab/>
              <w:t xml:space="preserve">Au plus tard le 30 juin 2028, la Commission publie un rapport d’évaluation complet sur l’incidence du </w:t>
            </w:r>
            <w:r w:rsidRPr="008C3CD8">
              <w:rPr>
                <w:b/>
                <w:i/>
              </w:rPr>
              <w:lastRenderedPageBreak/>
              <w:t>présent règlement. Ce rapport évalue également l’évolution, depuis le 1</w:t>
            </w:r>
            <w:r w:rsidRPr="008C3CD8">
              <w:rPr>
                <w:b/>
                <w:i/>
                <w:vertAlign w:val="superscript"/>
              </w:rPr>
              <w:t>er</w:t>
            </w:r>
            <w:r w:rsidRPr="008C3CD8">
              <w:rPr>
                <w:b/>
                <w:i/>
              </w:rPr>
              <w:t> août 2025, des relations commerciales et en matière d’investissement entre l’Union et les États-Unis pour les produits relevant du champ d’application du présent règlement.</w:t>
            </w:r>
          </w:p>
        </w:tc>
      </w:tr>
      <w:tr w:rsidR="004D1EC1" w:rsidRPr="008C3CD8" w14:paraId="603F3C3F" w14:textId="77777777" w:rsidTr="00B309B3">
        <w:trPr>
          <w:jc w:val="center"/>
        </w:trPr>
        <w:tc>
          <w:tcPr>
            <w:tcW w:w="4876" w:type="dxa"/>
            <w:tcBorders>
              <w:top w:val="nil"/>
              <w:left w:val="nil"/>
              <w:bottom w:val="nil"/>
              <w:right w:val="nil"/>
            </w:tcBorders>
          </w:tcPr>
          <w:p w14:paraId="65764467" w14:textId="77777777" w:rsidR="004D1EC1" w:rsidRPr="008C3CD8" w:rsidRDefault="004D1EC1" w:rsidP="00B309B3">
            <w:pPr>
              <w:pStyle w:val="Normal6a"/>
            </w:pPr>
          </w:p>
        </w:tc>
        <w:tc>
          <w:tcPr>
            <w:tcW w:w="4876" w:type="dxa"/>
            <w:tcBorders>
              <w:top w:val="nil"/>
              <w:left w:val="nil"/>
              <w:bottom w:val="nil"/>
              <w:right w:val="nil"/>
            </w:tcBorders>
          </w:tcPr>
          <w:p w14:paraId="052B1131" w14:textId="77777777" w:rsidR="004D1EC1" w:rsidRPr="008C3CD8" w:rsidRDefault="004D1EC1" w:rsidP="00B309B3">
            <w:pPr>
              <w:pStyle w:val="Normal6a"/>
            </w:pPr>
            <w:r w:rsidRPr="008C3CD8">
              <w:rPr>
                <w:b/>
                <w:i/>
              </w:rPr>
              <w:t>3.</w:t>
            </w:r>
            <w:r w:rsidRPr="008C3CD8">
              <w:rPr>
                <w:b/>
                <w:i/>
              </w:rPr>
              <w:tab/>
              <w:t>S’il y a lieu, le rapport visé au paragraphe 2 est accompagné d’une proposition législative visant à prolonger l’application du présent règlement.</w:t>
            </w:r>
          </w:p>
        </w:tc>
      </w:tr>
      <w:tr w:rsidR="004D1EC1" w:rsidRPr="008C3CD8" w14:paraId="00B267E3" w14:textId="77777777" w:rsidTr="00B309B3">
        <w:trPr>
          <w:jc w:val="center"/>
        </w:trPr>
        <w:tc>
          <w:tcPr>
            <w:tcW w:w="4876" w:type="dxa"/>
            <w:tcBorders>
              <w:top w:val="nil"/>
              <w:left w:val="nil"/>
              <w:bottom w:val="nil"/>
              <w:right w:val="nil"/>
            </w:tcBorders>
          </w:tcPr>
          <w:p w14:paraId="74F7269C" w14:textId="77777777" w:rsidR="004D1EC1" w:rsidRPr="008C3CD8" w:rsidRDefault="004D1EC1" w:rsidP="00B309B3">
            <w:pPr>
              <w:pStyle w:val="Normal6a"/>
            </w:pPr>
          </w:p>
        </w:tc>
        <w:tc>
          <w:tcPr>
            <w:tcW w:w="4876" w:type="dxa"/>
            <w:tcBorders>
              <w:top w:val="nil"/>
              <w:left w:val="nil"/>
              <w:bottom w:val="nil"/>
              <w:right w:val="nil"/>
            </w:tcBorders>
          </w:tcPr>
          <w:p w14:paraId="489113D3" w14:textId="77777777" w:rsidR="004D1EC1" w:rsidRPr="008C3CD8" w:rsidRDefault="004D1EC1" w:rsidP="00B309B3">
            <w:pPr>
              <w:pStyle w:val="Normal6a"/>
            </w:pPr>
            <w:r w:rsidRPr="008C3CD8">
              <w:rPr>
                <w:b/>
                <w:i/>
              </w:rPr>
              <w:t>4.</w:t>
            </w:r>
            <w:r w:rsidRPr="008C3CD8">
              <w:rPr>
                <w:b/>
                <w:i/>
              </w:rPr>
              <w:tab/>
              <w:t>La Commission informe régulièrement et en temps utile le Parlement européen et le Conseil des évolutions pertinentes dans l’application du présent règlement.</w:t>
            </w:r>
          </w:p>
        </w:tc>
      </w:tr>
    </w:tbl>
    <w:p w14:paraId="574827F6" w14:textId="77777777" w:rsidR="004D1EC1" w:rsidRPr="0077135F" w:rsidRDefault="004D1EC1" w:rsidP="004D1EC1">
      <w:pPr>
        <w:rPr>
          <w:lang w:val="de-DE"/>
        </w:rPr>
      </w:pPr>
      <w:r w:rsidRPr="0077135F">
        <w:rPr>
          <w:rStyle w:val="HideTWBExt"/>
          <w:lang w:val="de-DE"/>
        </w:rPr>
        <w:t>&lt;/Amend&gt;</w:t>
      </w:r>
    </w:p>
    <w:p w14:paraId="0631E090" w14:textId="77777777" w:rsidR="004D1EC1" w:rsidRPr="0077135F" w:rsidRDefault="004D1EC1" w:rsidP="004D1EC1">
      <w:pPr>
        <w:pStyle w:val="AmNumberTabs"/>
        <w:rPr>
          <w:lang w:val="de-DE"/>
        </w:rPr>
      </w:pPr>
      <w:r w:rsidRPr="0077135F">
        <w:rPr>
          <w:rStyle w:val="HideTWBExt"/>
          <w:b w:val="0"/>
          <w:lang w:val="de-DE"/>
        </w:rPr>
        <w:t>&lt;Amend&gt;</w:t>
      </w:r>
      <w:r w:rsidRPr="0077135F">
        <w:rPr>
          <w:lang w:val="de-DE"/>
        </w:rPr>
        <w:t>Amendement</w:t>
      </w:r>
      <w:r w:rsidRPr="0077135F">
        <w:rPr>
          <w:lang w:val="de-DE"/>
        </w:rPr>
        <w:tab/>
      </w:r>
      <w:r w:rsidRPr="0077135F">
        <w:rPr>
          <w:lang w:val="de-DE"/>
        </w:rPr>
        <w:tab/>
      </w:r>
      <w:r w:rsidRPr="0077135F">
        <w:rPr>
          <w:rStyle w:val="HideTWBExt"/>
          <w:b w:val="0"/>
          <w:lang w:val="de-DE"/>
        </w:rPr>
        <w:t>&lt;NumAm&gt;</w:t>
      </w:r>
      <w:r w:rsidRPr="0077135F">
        <w:rPr>
          <w:lang w:val="de-DE"/>
        </w:rPr>
        <w:t>16</w:t>
      </w:r>
      <w:r w:rsidRPr="0077135F">
        <w:rPr>
          <w:rStyle w:val="HideTWBExt"/>
          <w:b w:val="0"/>
          <w:lang w:val="de-DE"/>
        </w:rPr>
        <w:t>&lt;/</w:t>
      </w:r>
      <w:proofErr w:type="spellStart"/>
      <w:r w:rsidRPr="0077135F">
        <w:rPr>
          <w:rStyle w:val="HideTWBExt"/>
          <w:b w:val="0"/>
          <w:lang w:val="de-DE"/>
        </w:rPr>
        <w:t>NumAm</w:t>
      </w:r>
      <w:proofErr w:type="spellEnd"/>
      <w:r w:rsidRPr="0077135F">
        <w:rPr>
          <w:rStyle w:val="HideTWBExt"/>
          <w:b w:val="0"/>
          <w:lang w:val="de-DE"/>
        </w:rPr>
        <w:t>&gt;</w:t>
      </w:r>
    </w:p>
    <w:p w14:paraId="4280AB3C" w14:textId="77777777" w:rsidR="004D1EC1" w:rsidRPr="008C3CD8" w:rsidRDefault="004D1EC1" w:rsidP="004D1EC1">
      <w:pPr>
        <w:pStyle w:val="NormalBold"/>
      </w:pPr>
      <w:r w:rsidRPr="008C3CD8">
        <w:rPr>
          <w:rStyle w:val="HideTWBExt"/>
          <w:b w:val="0"/>
        </w:rPr>
        <w:t>&lt;DocAmend&gt;</w:t>
      </w:r>
      <w:r w:rsidRPr="008C3CD8">
        <w:t>Proposition de règlement</w:t>
      </w:r>
      <w:r w:rsidRPr="008C3CD8">
        <w:rPr>
          <w:rStyle w:val="HideTWBExt"/>
          <w:b w:val="0"/>
        </w:rPr>
        <w:t>&lt;/</w:t>
      </w:r>
      <w:proofErr w:type="spellStart"/>
      <w:r w:rsidRPr="008C3CD8">
        <w:rPr>
          <w:rStyle w:val="HideTWBExt"/>
          <w:b w:val="0"/>
        </w:rPr>
        <w:t>DocAmend</w:t>
      </w:r>
      <w:proofErr w:type="spellEnd"/>
      <w:r w:rsidRPr="008C3CD8">
        <w:rPr>
          <w:rStyle w:val="HideTWBExt"/>
          <w:b w:val="0"/>
        </w:rPr>
        <w:t>&gt;</w:t>
      </w:r>
    </w:p>
    <w:p w14:paraId="5D35FC1B" w14:textId="77777777" w:rsidR="004D1EC1" w:rsidRPr="008C3CD8" w:rsidRDefault="004D1EC1" w:rsidP="004D1EC1">
      <w:pPr>
        <w:pStyle w:val="NormalBold"/>
      </w:pPr>
      <w:r w:rsidRPr="008C3CD8">
        <w:rPr>
          <w:rStyle w:val="HideTWBExt"/>
          <w:b w:val="0"/>
        </w:rPr>
        <w:t>&lt;Article&gt;</w:t>
      </w:r>
      <w:r w:rsidRPr="008C3CD8">
        <w:t>Article 5 – alinéa 2</w:t>
      </w:r>
      <w:r w:rsidRPr="008C3CD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EC1" w:rsidRPr="008C3CD8" w14:paraId="00FABBE0" w14:textId="77777777" w:rsidTr="00B309B3">
        <w:trPr>
          <w:trHeight w:hRule="exact" w:val="240"/>
          <w:jc w:val="center"/>
        </w:trPr>
        <w:tc>
          <w:tcPr>
            <w:tcW w:w="9752" w:type="dxa"/>
            <w:gridSpan w:val="2"/>
            <w:tcBorders>
              <w:top w:val="nil"/>
              <w:left w:val="nil"/>
              <w:bottom w:val="nil"/>
              <w:right w:val="nil"/>
            </w:tcBorders>
          </w:tcPr>
          <w:p w14:paraId="7B157371" w14:textId="77777777" w:rsidR="004D1EC1" w:rsidRPr="008C3CD8" w:rsidRDefault="004D1EC1" w:rsidP="00B309B3"/>
        </w:tc>
      </w:tr>
      <w:tr w:rsidR="004D1EC1" w:rsidRPr="008C3CD8" w14:paraId="50F0F15C" w14:textId="77777777" w:rsidTr="00B309B3">
        <w:trPr>
          <w:trHeight w:val="240"/>
          <w:jc w:val="center"/>
        </w:trPr>
        <w:tc>
          <w:tcPr>
            <w:tcW w:w="4876" w:type="dxa"/>
            <w:tcBorders>
              <w:top w:val="nil"/>
              <w:left w:val="nil"/>
              <w:bottom w:val="nil"/>
              <w:right w:val="nil"/>
            </w:tcBorders>
          </w:tcPr>
          <w:p w14:paraId="2E0643BD" w14:textId="77777777" w:rsidR="004D1EC1" w:rsidRPr="008C3CD8" w:rsidRDefault="004D1EC1" w:rsidP="00B309B3">
            <w:pPr>
              <w:pStyle w:val="AmColumnHeading"/>
            </w:pPr>
            <w:r w:rsidRPr="008C3CD8">
              <w:t>Texte proposé par la Commission</w:t>
            </w:r>
          </w:p>
        </w:tc>
        <w:tc>
          <w:tcPr>
            <w:tcW w:w="4876" w:type="dxa"/>
            <w:tcBorders>
              <w:top w:val="nil"/>
              <w:left w:val="nil"/>
              <w:bottom w:val="nil"/>
              <w:right w:val="nil"/>
            </w:tcBorders>
          </w:tcPr>
          <w:p w14:paraId="41616874" w14:textId="77777777" w:rsidR="004D1EC1" w:rsidRPr="008C3CD8" w:rsidRDefault="004D1EC1" w:rsidP="00B309B3">
            <w:pPr>
              <w:pStyle w:val="AmColumnHeading"/>
            </w:pPr>
            <w:r w:rsidRPr="008C3CD8">
              <w:t>Amendement</w:t>
            </w:r>
          </w:p>
        </w:tc>
      </w:tr>
      <w:tr w:rsidR="004D1EC1" w:rsidRPr="008C3CD8" w14:paraId="056EC210" w14:textId="77777777" w:rsidTr="00B309B3">
        <w:trPr>
          <w:jc w:val="center"/>
        </w:trPr>
        <w:tc>
          <w:tcPr>
            <w:tcW w:w="4876" w:type="dxa"/>
            <w:tcBorders>
              <w:top w:val="nil"/>
              <w:left w:val="nil"/>
              <w:bottom w:val="nil"/>
              <w:right w:val="nil"/>
            </w:tcBorders>
          </w:tcPr>
          <w:p w14:paraId="46683608" w14:textId="77777777" w:rsidR="004D1EC1" w:rsidRPr="008C3CD8" w:rsidRDefault="004D1EC1" w:rsidP="00B309B3">
            <w:pPr>
              <w:pStyle w:val="Normal6a"/>
            </w:pPr>
            <w:r w:rsidRPr="008C3CD8">
              <w:rPr>
                <w:b/>
                <w:bCs/>
                <w:i/>
                <w:iCs/>
              </w:rPr>
              <w:t>Elle</w:t>
            </w:r>
            <w:r w:rsidRPr="008C3CD8">
              <w:t xml:space="preserve"> est applicable </w:t>
            </w:r>
            <w:r w:rsidRPr="008C3CD8">
              <w:rPr>
                <w:b/>
                <w:i/>
              </w:rPr>
              <w:t>à partir</w:t>
            </w:r>
            <w:r w:rsidRPr="008C3CD8">
              <w:t xml:space="preserve"> du 1</w:t>
            </w:r>
            <w:r w:rsidRPr="008C3CD8">
              <w:rPr>
                <w:vertAlign w:val="superscript"/>
              </w:rPr>
              <w:t>er</w:t>
            </w:r>
            <w:r w:rsidRPr="008C3CD8">
              <w:t> août 2025.</w:t>
            </w:r>
          </w:p>
        </w:tc>
        <w:tc>
          <w:tcPr>
            <w:tcW w:w="4876" w:type="dxa"/>
            <w:tcBorders>
              <w:top w:val="nil"/>
              <w:left w:val="nil"/>
              <w:bottom w:val="nil"/>
              <w:right w:val="nil"/>
            </w:tcBorders>
          </w:tcPr>
          <w:p w14:paraId="26EDA20E" w14:textId="77777777" w:rsidR="004D1EC1" w:rsidRPr="008C3CD8" w:rsidRDefault="004D1EC1" w:rsidP="00B309B3">
            <w:pPr>
              <w:pStyle w:val="Normal6a"/>
            </w:pPr>
            <w:r w:rsidRPr="008C3CD8">
              <w:rPr>
                <w:b/>
                <w:i/>
              </w:rPr>
              <w:t>Il</w:t>
            </w:r>
            <w:r w:rsidRPr="008C3CD8">
              <w:t xml:space="preserve"> est applicable du 1</w:t>
            </w:r>
            <w:r w:rsidRPr="008C3CD8">
              <w:rPr>
                <w:vertAlign w:val="superscript"/>
              </w:rPr>
              <w:t>er</w:t>
            </w:r>
            <w:r w:rsidRPr="008C3CD8">
              <w:t xml:space="preserve"> août 2025 </w:t>
            </w:r>
            <w:r w:rsidRPr="008C3CD8">
              <w:rPr>
                <w:b/>
                <w:i/>
              </w:rPr>
              <w:t>au 31 décembre 2028</w:t>
            </w:r>
            <w:r w:rsidRPr="008C3CD8">
              <w:t>.</w:t>
            </w:r>
          </w:p>
        </w:tc>
      </w:tr>
    </w:tbl>
    <w:p w14:paraId="27606B9E" w14:textId="7D4BDF6B" w:rsidR="00E365E1" w:rsidRPr="008C3CD8" w:rsidRDefault="00E365E1" w:rsidP="007C6EBB"/>
    <w:sectPr w:rsidR="00E365E1" w:rsidRPr="008C3CD8" w:rsidSect="008C3CD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C58E" w14:textId="77777777" w:rsidR="007C6EBB" w:rsidRPr="008C3CD8" w:rsidRDefault="007C6EBB">
      <w:r w:rsidRPr="008C3CD8">
        <w:separator/>
      </w:r>
    </w:p>
  </w:endnote>
  <w:endnote w:type="continuationSeparator" w:id="0">
    <w:p w14:paraId="68CE6791" w14:textId="77777777" w:rsidR="007C6EBB" w:rsidRPr="008C3CD8" w:rsidRDefault="007C6EBB">
      <w:r w:rsidRPr="008C3C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1C95" w14:textId="77777777" w:rsidR="00064002" w:rsidRPr="008C3CD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138D" w14:textId="77777777" w:rsidR="00064002" w:rsidRPr="008C3CD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11EA" w14:textId="77777777" w:rsidR="00064002" w:rsidRPr="008C3C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4BA26" w14:textId="77777777" w:rsidR="007C6EBB" w:rsidRPr="008C3CD8" w:rsidRDefault="007C6EBB">
      <w:r w:rsidRPr="008C3CD8">
        <w:separator/>
      </w:r>
    </w:p>
  </w:footnote>
  <w:footnote w:type="continuationSeparator" w:id="0">
    <w:p w14:paraId="3E264A78" w14:textId="77777777" w:rsidR="007C6EBB" w:rsidRPr="008C3CD8" w:rsidRDefault="007C6EBB">
      <w:r w:rsidRPr="008C3CD8">
        <w:continuationSeparator/>
      </w:r>
    </w:p>
  </w:footnote>
  <w:footnote w:id="1">
    <w:p w14:paraId="7D4FF38A" w14:textId="786436BE" w:rsidR="009F06A9" w:rsidRPr="0055007C" w:rsidRDefault="009F06A9">
      <w:pPr>
        <w:pStyle w:val="FootnoteText"/>
        <w:rPr>
          <w:sz w:val="24"/>
          <w:szCs w:val="24"/>
          <w:lang w:val="fr-BE"/>
        </w:rPr>
      </w:pPr>
      <w:r w:rsidRPr="0055007C">
        <w:rPr>
          <w:rStyle w:val="FootnoteReference"/>
          <w:sz w:val="24"/>
          <w:szCs w:val="24"/>
        </w:rPr>
        <w:footnoteRef/>
      </w:r>
      <w:r w:rsidRPr="0055007C">
        <w:rPr>
          <w:sz w:val="24"/>
          <w:szCs w:val="24"/>
        </w:rPr>
        <w:t xml:space="preserve"> </w:t>
      </w:r>
      <w:r w:rsidRPr="0055007C">
        <w:rPr>
          <w:sz w:val="24"/>
          <w:szCs w:val="24"/>
          <w:lang w:val="fr-BE"/>
        </w:rPr>
        <w:tab/>
        <w:t xml:space="preserve">La question a été renvoyée à la commission compétente, aux fins de négociations interinstitutionnelles, conformément à l’article 60, paragraphe 4, </w:t>
      </w:r>
      <w:r w:rsidR="00CD1782">
        <w:rPr>
          <w:sz w:val="24"/>
          <w:szCs w:val="24"/>
          <w:lang w:val="fr-BE"/>
        </w:rPr>
        <w:t xml:space="preserve">quatrième alinéa, </w:t>
      </w:r>
      <w:r w:rsidRPr="0055007C">
        <w:rPr>
          <w:sz w:val="24"/>
          <w:szCs w:val="24"/>
          <w:lang w:val="fr-BE"/>
        </w:rPr>
        <w:t>du règlement intérieur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5EF0" w14:textId="77777777" w:rsidR="00064002" w:rsidRPr="008C3CD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1C9E6" w14:textId="77777777" w:rsidR="00064002" w:rsidRPr="008C3CD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476E5" w14:textId="77777777" w:rsidR="00064002" w:rsidRPr="008C3C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5300511">
    <w:abstractNumId w:val="9"/>
  </w:num>
  <w:num w:numId="2" w16cid:durableId="1091901034">
    <w:abstractNumId w:val="9"/>
  </w:num>
  <w:num w:numId="3" w16cid:durableId="1935281714">
    <w:abstractNumId w:val="7"/>
  </w:num>
  <w:num w:numId="4" w16cid:durableId="1863206291">
    <w:abstractNumId w:val="7"/>
  </w:num>
  <w:num w:numId="5" w16cid:durableId="2049452165">
    <w:abstractNumId w:val="6"/>
  </w:num>
  <w:num w:numId="6" w16cid:durableId="2077973755">
    <w:abstractNumId w:val="6"/>
  </w:num>
  <w:num w:numId="7" w16cid:durableId="274365559">
    <w:abstractNumId w:val="5"/>
  </w:num>
  <w:num w:numId="8" w16cid:durableId="631522223">
    <w:abstractNumId w:val="5"/>
  </w:num>
  <w:num w:numId="9" w16cid:durableId="1397128182">
    <w:abstractNumId w:val="4"/>
  </w:num>
  <w:num w:numId="10" w16cid:durableId="779226128">
    <w:abstractNumId w:val="4"/>
  </w:num>
  <w:num w:numId="11" w16cid:durableId="519780300">
    <w:abstractNumId w:val="8"/>
  </w:num>
  <w:num w:numId="12" w16cid:durableId="721295283">
    <w:abstractNumId w:val="8"/>
  </w:num>
  <w:num w:numId="13" w16cid:durableId="954947528">
    <w:abstractNumId w:val="3"/>
  </w:num>
  <w:num w:numId="14" w16cid:durableId="1241452387">
    <w:abstractNumId w:val="3"/>
  </w:num>
  <w:num w:numId="15" w16cid:durableId="1330060710">
    <w:abstractNumId w:val="2"/>
  </w:num>
  <w:num w:numId="16" w16cid:durableId="1114792031">
    <w:abstractNumId w:val="2"/>
  </w:num>
  <w:num w:numId="17" w16cid:durableId="326326571">
    <w:abstractNumId w:val="1"/>
  </w:num>
  <w:num w:numId="18" w16cid:durableId="510798051">
    <w:abstractNumId w:val="1"/>
  </w:num>
  <w:num w:numId="19" w16cid:durableId="39016325">
    <w:abstractNumId w:val="0"/>
  </w:num>
  <w:num w:numId="20" w16cid:durableId="2047214934">
    <w:abstractNumId w:val="0"/>
  </w:num>
  <w:num w:numId="21" w16cid:durableId="1999384828">
    <w:abstractNumId w:val="9"/>
  </w:num>
  <w:num w:numId="22" w16cid:durableId="83108817">
    <w:abstractNumId w:val="7"/>
  </w:num>
  <w:num w:numId="23" w16cid:durableId="1707410336">
    <w:abstractNumId w:val="6"/>
  </w:num>
  <w:num w:numId="24" w16cid:durableId="1435904422">
    <w:abstractNumId w:val="5"/>
  </w:num>
  <w:num w:numId="25" w16cid:durableId="61756238">
    <w:abstractNumId w:val="4"/>
  </w:num>
  <w:num w:numId="26" w16cid:durableId="908736631">
    <w:abstractNumId w:val="8"/>
  </w:num>
  <w:num w:numId="27" w16cid:durableId="648941671">
    <w:abstractNumId w:val="3"/>
  </w:num>
  <w:num w:numId="28" w16cid:durableId="1227375220">
    <w:abstractNumId w:val="2"/>
  </w:num>
  <w:num w:numId="29" w16cid:durableId="1298880725">
    <w:abstractNumId w:val="1"/>
  </w:num>
  <w:num w:numId="30" w16cid:durableId="1860044076">
    <w:abstractNumId w:val="0"/>
  </w:num>
  <w:num w:numId="31" w16cid:durableId="550725588">
    <w:abstractNumId w:val="9"/>
  </w:num>
  <w:num w:numId="32" w16cid:durableId="13532903">
    <w:abstractNumId w:val="7"/>
  </w:num>
  <w:num w:numId="33" w16cid:durableId="1585456277">
    <w:abstractNumId w:val="6"/>
  </w:num>
  <w:num w:numId="34" w16cid:durableId="1982149126">
    <w:abstractNumId w:val="5"/>
  </w:num>
  <w:num w:numId="35" w16cid:durableId="573734635">
    <w:abstractNumId w:val="4"/>
  </w:num>
  <w:num w:numId="36" w16cid:durableId="1793136086">
    <w:abstractNumId w:val="8"/>
  </w:num>
  <w:num w:numId="37" w16cid:durableId="1676836715">
    <w:abstractNumId w:val="3"/>
  </w:num>
  <w:num w:numId="38" w16cid:durableId="836533345">
    <w:abstractNumId w:val="2"/>
  </w:num>
  <w:num w:numId="39" w16cid:durableId="1966500996">
    <w:abstractNumId w:val="1"/>
  </w:num>
  <w:num w:numId="40" w16cid:durableId="956375274">
    <w:abstractNumId w:val="0"/>
  </w:num>
  <w:num w:numId="41" w16cid:durableId="1352805404">
    <w:abstractNumId w:val="10"/>
  </w:num>
  <w:num w:numId="42" w16cid:durableId="1855266718">
    <w:abstractNumId w:val="10"/>
  </w:num>
  <w:num w:numId="43" w16cid:durableId="1054886439">
    <w:abstractNumId w:val="10"/>
  </w:num>
  <w:num w:numId="44" w16cid:durableId="826165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FR"/>
    <w:docVar w:name="dvnumam" w:val="0"/>
    <w:docVar w:name="dvpe" w:val="779.298"/>
    <w:docVar w:name="dvrapporteur" w:val="Rapporteur: "/>
    <w:docVar w:name="dvstar" w:val="***I"/>
    <w:docVar w:name="dvtitre" w:val="Résolution législative du Parlement européen du 26 mars 2026 sur la proposition de règlement du Parlement européen et du Conseil relatif à la non-application des droits de douane aux importations de certaines marchandises(COM(2025)0472 – C10-0192/2025 – 2025/0260(COD))"/>
  </w:docVars>
  <w:rsids>
    <w:rsidRoot w:val="007C6EBB"/>
    <w:rsid w:val="00000606"/>
    <w:rsid w:val="00002272"/>
    <w:rsid w:val="00064002"/>
    <w:rsid w:val="000677B9"/>
    <w:rsid w:val="000831BA"/>
    <w:rsid w:val="000A42CC"/>
    <w:rsid w:val="000E7DD9"/>
    <w:rsid w:val="000F6D81"/>
    <w:rsid w:val="0010095E"/>
    <w:rsid w:val="00125B37"/>
    <w:rsid w:val="00187494"/>
    <w:rsid w:val="001F32AE"/>
    <w:rsid w:val="002767FF"/>
    <w:rsid w:val="002B18FE"/>
    <w:rsid w:val="002B5493"/>
    <w:rsid w:val="002D3F1C"/>
    <w:rsid w:val="0033024B"/>
    <w:rsid w:val="00343214"/>
    <w:rsid w:val="00361C00"/>
    <w:rsid w:val="00395FA1"/>
    <w:rsid w:val="003E15D4"/>
    <w:rsid w:val="00411CCE"/>
    <w:rsid w:val="0041666E"/>
    <w:rsid w:val="00421060"/>
    <w:rsid w:val="00471C19"/>
    <w:rsid w:val="004867E3"/>
    <w:rsid w:val="00494A28"/>
    <w:rsid w:val="004C0004"/>
    <w:rsid w:val="004C5D52"/>
    <w:rsid w:val="004D1EC1"/>
    <w:rsid w:val="004E0FCE"/>
    <w:rsid w:val="0050519A"/>
    <w:rsid w:val="005072A1"/>
    <w:rsid w:val="00514517"/>
    <w:rsid w:val="00545827"/>
    <w:rsid w:val="0055007C"/>
    <w:rsid w:val="00560270"/>
    <w:rsid w:val="005C2568"/>
    <w:rsid w:val="005F1B17"/>
    <w:rsid w:val="006037C0"/>
    <w:rsid w:val="006631B6"/>
    <w:rsid w:val="00680577"/>
    <w:rsid w:val="006F74FA"/>
    <w:rsid w:val="00731ADD"/>
    <w:rsid w:val="00734777"/>
    <w:rsid w:val="00747932"/>
    <w:rsid w:val="00751A4A"/>
    <w:rsid w:val="00756632"/>
    <w:rsid w:val="00762C74"/>
    <w:rsid w:val="0077135F"/>
    <w:rsid w:val="00786EC0"/>
    <w:rsid w:val="007C6EBB"/>
    <w:rsid w:val="007D1690"/>
    <w:rsid w:val="007E22AD"/>
    <w:rsid w:val="00817416"/>
    <w:rsid w:val="00842779"/>
    <w:rsid w:val="00865F67"/>
    <w:rsid w:val="00881A7B"/>
    <w:rsid w:val="008840E5"/>
    <w:rsid w:val="00887B3E"/>
    <w:rsid w:val="008C2AC6"/>
    <w:rsid w:val="008C3CD8"/>
    <w:rsid w:val="00930C23"/>
    <w:rsid w:val="0093193B"/>
    <w:rsid w:val="009509D8"/>
    <w:rsid w:val="00950B64"/>
    <w:rsid w:val="00981893"/>
    <w:rsid w:val="009F06A9"/>
    <w:rsid w:val="00A1687D"/>
    <w:rsid w:val="00A43E52"/>
    <w:rsid w:val="00A4678D"/>
    <w:rsid w:val="00A54D3C"/>
    <w:rsid w:val="00A72C8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782"/>
    <w:rsid w:val="00CF071A"/>
    <w:rsid w:val="00D058B8"/>
    <w:rsid w:val="00D3029A"/>
    <w:rsid w:val="00D56C11"/>
    <w:rsid w:val="00D834A0"/>
    <w:rsid w:val="00D872DF"/>
    <w:rsid w:val="00D91E21"/>
    <w:rsid w:val="00DA7FCD"/>
    <w:rsid w:val="00DB1D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1029B"/>
  <w15:chartTrackingRefBased/>
  <w15:docId w15:val="{1BFC1451-BD46-42A7-A64E-F482DCAB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D1EC1"/>
    <w:pPr>
      <w:spacing w:after="120"/>
    </w:pPr>
  </w:style>
  <w:style w:type="paragraph" w:customStyle="1" w:styleId="NormalBold">
    <w:name w:val="NormalBold"/>
    <w:basedOn w:val="Normal"/>
    <w:link w:val="NormalBoldChar"/>
    <w:rsid w:val="004D1EC1"/>
    <w:rPr>
      <w:b/>
    </w:rPr>
  </w:style>
  <w:style w:type="paragraph" w:customStyle="1" w:styleId="NormalHanging12a">
    <w:name w:val="NormalHanging12a"/>
    <w:basedOn w:val="Normal"/>
    <w:rsid w:val="004D1EC1"/>
    <w:pPr>
      <w:spacing w:after="240"/>
      <w:ind w:left="567" w:hanging="567"/>
    </w:pPr>
  </w:style>
  <w:style w:type="paragraph" w:customStyle="1" w:styleId="AmColumnHeading">
    <w:name w:val="AmColumnHeading"/>
    <w:basedOn w:val="Normal"/>
    <w:rsid w:val="004D1EC1"/>
    <w:pPr>
      <w:spacing w:after="240"/>
      <w:jc w:val="center"/>
    </w:pPr>
    <w:rPr>
      <w:i/>
    </w:rPr>
  </w:style>
  <w:style w:type="paragraph" w:customStyle="1" w:styleId="AmNumberTabs">
    <w:name w:val="AmNumberTabs"/>
    <w:basedOn w:val="Normal"/>
    <w:rsid w:val="004D1E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D1EC1"/>
    <w:pPr>
      <w:spacing w:before="240"/>
    </w:pPr>
    <w:rPr>
      <w:b/>
    </w:rPr>
  </w:style>
  <w:style w:type="paragraph" w:customStyle="1" w:styleId="EPComma">
    <w:name w:val="EPComma"/>
    <w:basedOn w:val="Normal"/>
    <w:rsid w:val="004D1EC1"/>
    <w:pPr>
      <w:spacing w:before="480" w:after="240"/>
    </w:pPr>
  </w:style>
  <w:style w:type="character" w:customStyle="1" w:styleId="Normal6Char">
    <w:name w:val="Normal6 Char"/>
    <w:link w:val="Normal6"/>
    <w:locked/>
    <w:rsid w:val="004D1EC1"/>
    <w:rPr>
      <w:sz w:val="24"/>
    </w:rPr>
  </w:style>
  <w:style w:type="paragraph" w:customStyle="1" w:styleId="Normal6">
    <w:name w:val="Normal6"/>
    <w:basedOn w:val="Normal"/>
    <w:link w:val="Normal6Char"/>
    <w:rsid w:val="004D1EC1"/>
    <w:pPr>
      <w:spacing w:after="120"/>
    </w:pPr>
    <w:rPr>
      <w:lang w:val="en-GB"/>
    </w:rPr>
  </w:style>
  <w:style w:type="character" w:customStyle="1" w:styleId="NormalBoldChar">
    <w:name w:val="NormalBold Char"/>
    <w:link w:val="NormalBold"/>
    <w:locked/>
    <w:rsid w:val="004D1EC1"/>
    <w:rPr>
      <w:b/>
      <w:sz w:val="24"/>
      <w:lang w:val="fr-FR"/>
    </w:rPr>
  </w:style>
  <w:style w:type="paragraph" w:customStyle="1" w:styleId="ColumnHeading">
    <w:name w:val="ColumnHeading"/>
    <w:basedOn w:val="Normal"/>
    <w:rsid w:val="004D1EC1"/>
    <w:pPr>
      <w:spacing w:after="240"/>
      <w:jc w:val="center"/>
    </w:pPr>
    <w:rPr>
      <w:i/>
    </w:rPr>
  </w:style>
  <w:style w:type="character" w:styleId="Hyperlink">
    <w:name w:val="Hyperlink"/>
    <w:basedOn w:val="DefaultParagraphFont"/>
    <w:rsid w:val="004D1EC1"/>
    <w:rPr>
      <w:color w:val="0563C1" w:themeColor="hyperlink"/>
      <w:u w:val="single"/>
    </w:rPr>
  </w:style>
  <w:style w:type="paragraph" w:styleId="Revision">
    <w:name w:val="Revision"/>
    <w:hidden/>
    <w:uiPriority w:val="99"/>
    <w:semiHidden/>
    <w:rsid w:val="009F06A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2248</Words>
  <Characters>14208</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2026-05-26T10:46:00Z</dcterms:created>
  <dcterms:modified xsi:type="dcterms:W3CDTF">2026-05-26T10:46:00Z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P10_TA(2026)0097_</vt:lpwstr>
  </property>
  <property fmtid="{D5CDD505-2E9C-101B-9397-08002B2CF9AE}" pid="4" name="&lt;Type&gt;">
    <vt:lpwstr>RR</vt:lpwstr>
  </property>
</Properties>
</file>