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5553" w14:paraId="3F8B47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239DAB" w14:textId="77777777" w:rsidR="00751A4A" w:rsidRPr="008E5553" w:rsidRDefault="00AE21B8" w:rsidP="0010095E">
            <w:pPr>
              <w:pStyle w:val="EPName"/>
            </w:pPr>
            <w:r w:rsidRPr="008E5553">
              <w:t>Evropský parlament</w:t>
            </w:r>
          </w:p>
          <w:p w14:paraId="47647DF1" w14:textId="77777777" w:rsidR="00751A4A" w:rsidRPr="008E55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5553">
              <w:t>2024</w:t>
            </w:r>
            <w:r w:rsidR="00817416" w:rsidRPr="008E5553">
              <w:t>-202</w:t>
            </w:r>
            <w:r w:rsidRPr="008E5553">
              <w:t>9</w:t>
            </w:r>
          </w:p>
        </w:tc>
        <w:tc>
          <w:tcPr>
            <w:tcW w:w="2268" w:type="dxa"/>
            <w:shd w:val="clear" w:color="auto" w:fill="auto"/>
          </w:tcPr>
          <w:p w14:paraId="754051B3" w14:textId="77777777" w:rsidR="00751A4A" w:rsidRPr="008E5553" w:rsidRDefault="00187494" w:rsidP="0010095E">
            <w:pPr>
              <w:pStyle w:val="EPLogo"/>
            </w:pPr>
            <w:r w:rsidRPr="008E5553">
              <w:rPr>
                <w:noProof/>
                <w:lang w:eastAsia="ja-JP"/>
              </w:rPr>
              <w:drawing>
                <wp:inline distT="0" distB="0" distL="0" distR="0" wp14:anchorId="3FDC8036" wp14:editId="092F7B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3CFCF8" w14:textId="77777777" w:rsidR="00D058B8" w:rsidRPr="008E5553" w:rsidRDefault="00D058B8" w:rsidP="004C5D52">
      <w:pPr>
        <w:pStyle w:val="LineTop"/>
      </w:pPr>
    </w:p>
    <w:p w14:paraId="07C1958E" w14:textId="77777777" w:rsidR="00680577" w:rsidRPr="008E5553" w:rsidRDefault="00AE21B8" w:rsidP="00680577">
      <w:pPr>
        <w:pStyle w:val="EPBodyTA1"/>
      </w:pPr>
      <w:r w:rsidRPr="008E5553">
        <w:t>PŘIJATÉ TEXTY</w:t>
      </w:r>
    </w:p>
    <w:p w14:paraId="28932BCC" w14:textId="77777777" w:rsidR="00D058B8" w:rsidRPr="008E5553" w:rsidRDefault="00D058B8" w:rsidP="00D058B8">
      <w:pPr>
        <w:pStyle w:val="LineBottom"/>
      </w:pPr>
    </w:p>
    <w:p w14:paraId="31040854" w14:textId="7672F73C" w:rsidR="00AE21B8" w:rsidRPr="008E5553" w:rsidRDefault="00AE21B8" w:rsidP="00AE21B8">
      <w:pPr>
        <w:pStyle w:val="ATHeading1"/>
      </w:pPr>
      <w:bookmarkStart w:id="0" w:name="TANumber"/>
      <w:r w:rsidRPr="008E5553">
        <w:t>P10_</w:t>
      </w:r>
      <w:proofErr w:type="gramStart"/>
      <w:r w:rsidRPr="008E5553">
        <w:t>TA(</w:t>
      </w:r>
      <w:proofErr w:type="gramEnd"/>
      <w:r w:rsidRPr="008E5553">
        <w:t>2026)0</w:t>
      </w:r>
      <w:r w:rsidR="003B10D5">
        <w:t>102</w:t>
      </w:r>
      <w:bookmarkEnd w:id="0"/>
    </w:p>
    <w:p w14:paraId="02C0427B" w14:textId="4B326562" w:rsidR="00AE21B8" w:rsidRPr="008E5553" w:rsidRDefault="00922638" w:rsidP="00922638">
      <w:pPr>
        <w:pStyle w:val="ATHeading2"/>
      </w:pPr>
      <w:r>
        <w:t>Uvolnění prostředků z Evropského fondu pro přizpůsobení se globalizaci na pomoc propuštěným pracovníkům: žádost EGF/2025/007 BE/</w:t>
      </w:r>
      <w:proofErr w:type="spellStart"/>
      <w:r>
        <w:t>Casa</w:t>
      </w:r>
      <w:proofErr w:type="spellEnd"/>
      <w:r>
        <w:t xml:space="preserve"> – Belgie</w:t>
      </w:r>
    </w:p>
    <w:p w14:paraId="24C3127F" w14:textId="77777777" w:rsidR="00AE21B8" w:rsidRPr="008E5553" w:rsidRDefault="00AE21B8" w:rsidP="00AE21B8">
      <w:pPr>
        <w:rPr>
          <w:i/>
          <w:vanish/>
        </w:rPr>
      </w:pPr>
      <w:r w:rsidRPr="008E5553">
        <w:rPr>
          <w:i/>
        </w:rPr>
        <w:fldChar w:fldCharType="begin"/>
      </w:r>
      <w:r w:rsidRPr="008E5553">
        <w:rPr>
          <w:i/>
        </w:rPr>
        <w:instrText xml:space="preserve"> TC"(</w:instrText>
      </w:r>
      <w:bookmarkStart w:id="1" w:name="DocNumber"/>
      <w:r w:rsidRPr="008E5553">
        <w:rPr>
          <w:i/>
        </w:rPr>
        <w:instrText>A10-0061/2026</w:instrText>
      </w:r>
      <w:bookmarkEnd w:id="1"/>
      <w:r w:rsidRPr="008E5553">
        <w:rPr>
          <w:i/>
        </w:rPr>
        <w:instrText xml:space="preserve"> - Zpravodaj: </w:instrText>
      </w:r>
      <w:proofErr w:type="spellStart"/>
      <w:r w:rsidRPr="008E5553">
        <w:rPr>
          <w:i/>
        </w:rPr>
        <w:instrText>Hélder</w:instrText>
      </w:r>
      <w:proofErr w:type="spellEnd"/>
      <w:r w:rsidRPr="008E5553">
        <w:rPr>
          <w:i/>
        </w:rPr>
        <w:instrText xml:space="preserve"> </w:instrText>
      </w:r>
      <w:proofErr w:type="spellStart"/>
      <w:r w:rsidRPr="008E5553">
        <w:rPr>
          <w:i/>
        </w:rPr>
        <w:instrText>Sousa</w:instrText>
      </w:r>
      <w:proofErr w:type="spellEnd"/>
      <w:r w:rsidRPr="008E5553">
        <w:rPr>
          <w:i/>
        </w:rPr>
        <w:instrText xml:space="preserve"> Silva)"\l3 \n&gt; \* MERGEFORMAT </w:instrText>
      </w:r>
      <w:r w:rsidRPr="008E5553">
        <w:rPr>
          <w:i/>
        </w:rPr>
        <w:fldChar w:fldCharType="end"/>
      </w:r>
    </w:p>
    <w:p w14:paraId="6AA95340" w14:textId="77777777" w:rsidR="00AE21B8" w:rsidRPr="008E5553" w:rsidRDefault="00AE21B8" w:rsidP="00AE21B8">
      <w:pPr>
        <w:rPr>
          <w:vanish/>
        </w:rPr>
      </w:pPr>
      <w:bookmarkStart w:id="2" w:name="Commission"/>
      <w:r w:rsidRPr="008E5553">
        <w:rPr>
          <w:vanish/>
        </w:rPr>
        <w:t>Rozpočtový výbor</w:t>
      </w:r>
      <w:bookmarkEnd w:id="2"/>
    </w:p>
    <w:p w14:paraId="7CEBA92B" w14:textId="77777777" w:rsidR="00AE21B8" w:rsidRPr="008E5553" w:rsidRDefault="00AE21B8" w:rsidP="00AE21B8">
      <w:pPr>
        <w:rPr>
          <w:vanish/>
        </w:rPr>
      </w:pPr>
      <w:bookmarkStart w:id="3" w:name="PE"/>
      <w:r w:rsidRPr="008E5553">
        <w:rPr>
          <w:vanish/>
        </w:rPr>
        <w:t>PE784.477</w:t>
      </w:r>
      <w:bookmarkEnd w:id="3"/>
    </w:p>
    <w:p w14:paraId="77C5DE8A" w14:textId="48E9B676" w:rsidR="00AE21B8" w:rsidRPr="008E5553" w:rsidRDefault="00AE21B8" w:rsidP="00AE21B8">
      <w:pPr>
        <w:pStyle w:val="ATHeading3"/>
      </w:pPr>
      <w:bookmarkStart w:id="4" w:name="Sujet"/>
      <w:r w:rsidRPr="008E5553">
        <w:t>Usnesení Evropského parlamentu ze dne</w:t>
      </w:r>
      <w:r w:rsidR="00922638">
        <w:t xml:space="preserve"> 26. </w:t>
      </w:r>
      <w:r w:rsidR="0065413C">
        <w:t>března</w:t>
      </w:r>
      <w:r w:rsidRPr="008E5553">
        <w:t xml:space="preserve"> 2026 o návrhu rozhodnutí Evropského parlamentu a Rady o uvolnění prostředků z Evropského fondu pro přizpůsobení se globalizaci na pomoc propuštěným pracovníkům na základě žádosti Belgie – EGF/2025/007 BE/</w:t>
      </w:r>
      <w:proofErr w:type="spellStart"/>
      <w:r w:rsidRPr="008E5553">
        <w:t>Casa</w:t>
      </w:r>
      <w:bookmarkEnd w:id="4"/>
      <w:proofErr w:type="spellEnd"/>
      <w:r w:rsidRPr="008E5553">
        <w:t xml:space="preserve"> </w:t>
      </w:r>
      <w:bookmarkStart w:id="5" w:name="References"/>
      <w:r w:rsidRPr="008E5553">
        <w:t>(</w:t>
      </w:r>
      <w:proofErr w:type="gramStart"/>
      <w:r w:rsidRPr="008E5553">
        <w:t>COM(</w:t>
      </w:r>
      <w:proofErr w:type="gramEnd"/>
      <w:r w:rsidRPr="008E5553">
        <w:t>2026)0003 – C10-0025/2026 – 2026/0038(BUD))</w:t>
      </w:r>
      <w:bookmarkEnd w:id="5"/>
    </w:p>
    <w:p w14:paraId="0931A0AC" w14:textId="77777777" w:rsidR="00F91C53" w:rsidRPr="008E5553" w:rsidRDefault="00F91C53" w:rsidP="00F91C53">
      <w:pPr>
        <w:pStyle w:val="EPComma"/>
        <w:rPr>
          <w:noProof/>
        </w:rPr>
      </w:pPr>
      <w:r w:rsidRPr="008E5553">
        <w:rPr>
          <w:i/>
        </w:rPr>
        <w:t>Evropský parlament</w:t>
      </w:r>
      <w:r w:rsidRPr="008E5553">
        <w:t>,</w:t>
      </w:r>
    </w:p>
    <w:p w14:paraId="4FED9D2E" w14:textId="77777777" w:rsidR="00F91C53" w:rsidRPr="008E5553" w:rsidRDefault="00F91C53" w:rsidP="00F91C53">
      <w:pPr>
        <w:pStyle w:val="NormalHanging12a"/>
        <w:rPr>
          <w:noProof/>
        </w:rPr>
      </w:pPr>
      <w:r w:rsidRPr="008E5553">
        <w:t>–</w:t>
      </w:r>
      <w:r w:rsidRPr="008E5553">
        <w:tab/>
        <w:t>s ohledem na návrh Komise předložený Evropskému parlamentu a Radě (</w:t>
      </w:r>
      <w:proofErr w:type="gramStart"/>
      <w:r w:rsidRPr="008E5553">
        <w:t>COM(</w:t>
      </w:r>
      <w:proofErr w:type="gramEnd"/>
      <w:r w:rsidRPr="008E5553">
        <w:t>2026)0003 – C10-0025/2026),</w:t>
      </w:r>
    </w:p>
    <w:p w14:paraId="69B3DE7A" w14:textId="77777777" w:rsidR="00F91C53" w:rsidRPr="008E5553" w:rsidRDefault="00F91C53" w:rsidP="00F91C53">
      <w:pPr>
        <w:pStyle w:val="NormalHanging12a"/>
      </w:pPr>
      <w:r w:rsidRPr="008E5553">
        <w:t>–</w:t>
      </w:r>
      <w:r w:rsidRPr="008E5553">
        <w:tab/>
        <w:t>s ohledem na nařízení Evropského parlamentu a Rady (EU) 2021/691 ze dne 28. dubna 2021 o Evropském fondu pro přizpůsobení se globalizaci na pomoc propuštěným pracovníkům (EFG) a o zrušení nařízení (EU) č. 1309/2013</w:t>
      </w:r>
      <w:r w:rsidRPr="008E5553">
        <w:rPr>
          <w:vertAlign w:val="superscript"/>
        </w:rPr>
        <w:footnoteReference w:id="1"/>
      </w:r>
      <w:r w:rsidRPr="008E5553">
        <w:t xml:space="preserve"> (dále jen „nařízení o EFG“), </w:t>
      </w:r>
    </w:p>
    <w:p w14:paraId="346AD652" w14:textId="77777777" w:rsidR="00F91C53" w:rsidRPr="008E5553" w:rsidRDefault="00F91C53" w:rsidP="00F91C53">
      <w:pPr>
        <w:pStyle w:val="NormalHanging12a"/>
        <w:rPr>
          <w:noProof/>
        </w:rPr>
      </w:pPr>
      <w:r w:rsidRPr="008E5553">
        <w:t>–</w:t>
      </w:r>
      <w:r w:rsidRPr="008E5553">
        <w:tab/>
        <w:t>s ohledem na nařízení Rady (EU, Euratom) 2020/2093 ze dne 17. prosince 2020, kterým se stanoví víceletý finanční rámec na období 2021–2027 (dále jen „nařízení o VFR“)</w:t>
      </w:r>
      <w:r w:rsidRPr="008E5553">
        <w:rPr>
          <w:noProof/>
          <w:vertAlign w:val="superscript"/>
        </w:rPr>
        <w:footnoteReference w:id="2"/>
      </w:r>
      <w:r w:rsidRPr="008E5553">
        <w:t>, ve znění nařízení (EU, Euratom) 2024/765</w:t>
      </w:r>
      <w:r w:rsidRPr="008E5553">
        <w:rPr>
          <w:noProof/>
          <w:vertAlign w:val="superscript"/>
        </w:rPr>
        <w:footnoteReference w:id="3"/>
      </w:r>
      <w:r w:rsidRPr="008E5553">
        <w:t xml:space="preserve">, a zejména na článek 8 tohoto nařízení, </w:t>
      </w:r>
    </w:p>
    <w:p w14:paraId="01ACE621" w14:textId="77777777" w:rsidR="00F91C53" w:rsidRPr="008E5553" w:rsidRDefault="00F91C53" w:rsidP="00F91C53">
      <w:pPr>
        <w:pStyle w:val="NormalHanging12a"/>
        <w:rPr>
          <w:noProof/>
        </w:rPr>
      </w:pPr>
      <w:r w:rsidRPr="008E5553">
        <w:t>–</w:t>
      </w:r>
      <w:r w:rsidRPr="008E5553">
        <w:tab/>
        <w:t>s ohledem na interinstitucionální dohodu ze dne 16. 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8E5553">
        <w:rPr>
          <w:rStyle w:val="FootnoteReference"/>
          <w:noProof/>
        </w:rPr>
        <w:footnoteReference w:id="4"/>
      </w:r>
      <w:r w:rsidRPr="008E5553">
        <w:t xml:space="preserve">, a zejména na bod 9 této </w:t>
      </w:r>
      <w:r w:rsidRPr="008E5553">
        <w:lastRenderedPageBreak/>
        <w:t>dohody,</w:t>
      </w:r>
    </w:p>
    <w:p w14:paraId="61052766" w14:textId="77777777" w:rsidR="00F91C53" w:rsidRPr="008E5553" w:rsidRDefault="00F91C53" w:rsidP="00F91C53">
      <w:pPr>
        <w:pStyle w:val="NormalHanging12a"/>
      </w:pPr>
      <w:r w:rsidRPr="008E5553">
        <w:t>–</w:t>
      </w:r>
      <w:r w:rsidRPr="008E5553">
        <w:tab/>
        <w:t>s ohledem na evropský pilíř sociálních práv,</w:t>
      </w:r>
    </w:p>
    <w:p w14:paraId="1DC562BB" w14:textId="77777777" w:rsidR="00F91C53" w:rsidRPr="008E5553" w:rsidRDefault="00F91C53" w:rsidP="00F91C53">
      <w:pPr>
        <w:pStyle w:val="NormalHanging12a"/>
      </w:pPr>
      <w:r w:rsidRPr="008E5553">
        <w:t>–</w:t>
      </w:r>
      <w:r w:rsidRPr="008E5553">
        <w:tab/>
        <w:t>s ohledem na dopis Výboru pro zaměstnanost a sociální věci,</w:t>
      </w:r>
    </w:p>
    <w:p w14:paraId="38694EEA" w14:textId="77777777" w:rsidR="00F91C53" w:rsidRPr="008E5553" w:rsidRDefault="00F91C53" w:rsidP="00F91C53">
      <w:pPr>
        <w:pStyle w:val="NormalHanging12a"/>
      </w:pPr>
      <w:r w:rsidRPr="008E5553">
        <w:t>–</w:t>
      </w:r>
      <w:r w:rsidRPr="008E5553">
        <w:tab/>
        <w:t>s ohledem na zprávu Rozpočtového výboru (A10-0061/2026),</w:t>
      </w:r>
    </w:p>
    <w:p w14:paraId="3B053C94" w14:textId="77777777" w:rsidR="00F91C53" w:rsidRPr="008E5553" w:rsidRDefault="00F91C53" w:rsidP="00F91C53">
      <w:pPr>
        <w:pStyle w:val="NormalHanging12a"/>
        <w:rPr>
          <w:noProof/>
        </w:rPr>
      </w:pPr>
      <w:r w:rsidRPr="008E5553">
        <w:t>A.</w:t>
      </w:r>
      <w:r w:rsidRPr="008E5553">
        <w:tab/>
        <w:t>vzhledem k tomu, že Unie vytvořila legislativní a rozpočtové nástroje s cílem poskytovat dodatečnou podporu pracovníkům, kteří jsou postiženi důsledky významných strukturálních událostí a změn ve schématu světového obchodu, a pomáhat jim při opětovném začleňování na trh práce; vzhledem k tomu, že tato pomoc jim je poskytována v podobě finanční podpory;</w:t>
      </w:r>
    </w:p>
    <w:p w14:paraId="52F1BDE0" w14:textId="77777777" w:rsidR="00F91C53" w:rsidRPr="008E5553" w:rsidRDefault="00F91C53" w:rsidP="00F91C53">
      <w:pPr>
        <w:pStyle w:val="NormalHanging12a"/>
      </w:pPr>
      <w:r w:rsidRPr="008E5553">
        <w:t>B.</w:t>
      </w:r>
      <w:r w:rsidRPr="008E5553">
        <w:tab/>
        <w:t>vzhledem k tomu, že Belgie předložila žádost EGF/2025/007 BE/</w:t>
      </w:r>
      <w:proofErr w:type="spellStart"/>
      <w:r w:rsidRPr="008E5553">
        <w:t>Casa</w:t>
      </w:r>
      <w:proofErr w:type="spellEnd"/>
      <w:r w:rsidRPr="008E5553">
        <w:t xml:space="preserve"> o finanční příspěvek z EFG v souvislosti s propuštěním 416 pracovníků</w:t>
      </w:r>
      <w:r w:rsidRPr="008E5553">
        <w:rPr>
          <w:vertAlign w:val="superscript"/>
        </w:rPr>
        <w:footnoteReference w:id="5"/>
      </w:r>
      <w:r w:rsidRPr="008E5553">
        <w:t xml:space="preserve"> ve společnosti </w:t>
      </w:r>
      <w:proofErr w:type="spellStart"/>
      <w:r w:rsidRPr="008E5553">
        <w:t>Casa</w:t>
      </w:r>
      <w:proofErr w:type="spellEnd"/>
      <w:r w:rsidRPr="008E5553">
        <w:t xml:space="preserve"> International NV (</w:t>
      </w:r>
      <w:proofErr w:type="spellStart"/>
      <w:r w:rsidRPr="008E5553">
        <w:t>Casa</w:t>
      </w:r>
      <w:proofErr w:type="spellEnd"/>
      <w:r w:rsidRPr="008E5553">
        <w:t xml:space="preserve">) v Belgii v hospodářských odvětvích, která jsou v rámci klasifikace NACE Revize 2 zařazena do oddílu 47 (Maloobchod, kromě s motorovými vozidly) a oddílu 52 (Skladování a vedlejší činnosti v dopravě) v provincii Antverpy (BE21) ve Vlámsku, a to v referenčním období od 6. března 2025 do 6. července 2025; </w:t>
      </w:r>
    </w:p>
    <w:p w14:paraId="1F0E187D" w14:textId="77777777" w:rsidR="00F91C53" w:rsidRPr="008E5553" w:rsidRDefault="00F91C53" w:rsidP="00F91C53">
      <w:pPr>
        <w:pStyle w:val="NormalHanging12a"/>
      </w:pPr>
      <w:r w:rsidRPr="008E5553">
        <w:t>C.</w:t>
      </w:r>
      <w:r w:rsidRPr="008E5553">
        <w:tab/>
        <w:t xml:space="preserve">vzhledem k tomu, že žádost je založena na kritériích pro pomoc stanovených v čl. 4 odst. 2 písm. a) nařízení o EFG; vzhledem k tomu, že 257 pracovníků bylo propuštěno ve společnosti </w:t>
      </w:r>
      <w:proofErr w:type="spellStart"/>
      <w:r w:rsidRPr="008E5553">
        <w:t>Casa</w:t>
      </w:r>
      <w:proofErr w:type="spellEnd"/>
      <w:r w:rsidRPr="008E5553">
        <w:t xml:space="preserve"> International NV (maloobchod), která má 65 maloobchodních prodejen po celé Belgii, a 159 pracovníků bylo propuštěno ve společnosti </w:t>
      </w:r>
      <w:proofErr w:type="spellStart"/>
      <w:r w:rsidRPr="008E5553">
        <w:t>Casa</w:t>
      </w:r>
      <w:proofErr w:type="spellEnd"/>
      <w:r w:rsidRPr="008E5553">
        <w:t xml:space="preserve"> </w:t>
      </w:r>
      <w:proofErr w:type="spellStart"/>
      <w:r w:rsidRPr="008E5553">
        <w:t>Logistics</w:t>
      </w:r>
      <w:proofErr w:type="spellEnd"/>
      <w:r w:rsidRPr="008E5553">
        <w:t xml:space="preserve"> NV (skladování), která je odpovědná za skladování a distribuci pro tyto prodejny; </w:t>
      </w:r>
    </w:p>
    <w:p w14:paraId="7ACE2C47" w14:textId="77777777" w:rsidR="00F91C53" w:rsidRPr="008E5553" w:rsidRDefault="00F91C53" w:rsidP="00F91C53">
      <w:pPr>
        <w:pStyle w:val="NormalHanging12a"/>
        <w:rPr>
          <w:noProof/>
        </w:rPr>
      </w:pPr>
      <w:r w:rsidRPr="008E5553">
        <w:t>D.</w:t>
      </w:r>
      <w:r w:rsidRPr="008E5553">
        <w:tab/>
        <w:t xml:space="preserve">vzhledem k tomu, že společnost </w:t>
      </w:r>
      <w:proofErr w:type="spellStart"/>
      <w:r w:rsidRPr="008E5553">
        <w:t>Casa</w:t>
      </w:r>
      <w:proofErr w:type="spellEnd"/>
      <w:r w:rsidRPr="008E5553">
        <w:t xml:space="preserve"> podala dne 6. března 2025 návrh na vyhlášení úpadku; vzhledem k tomu, že v Belgii se od roku 2022 počet úpadků neustále zvyšuje, zejména v maloobchodním odvětví, které prochází hlubokou strukturální transformací způsobenou nárůstem elektronického obchodu a měnícími se spotřebitelskými návyky; vzhledem k tomu, že ženy představují 67,5 % pracovních sil, jichž se tento případ týká; zdůrazňuje proto, že podpůrná opatření v rámci EFG by měla zohledňovat specifické potřeby a překážky, s nimiž se tyto ženy potýkají při návratu na trh práce;</w:t>
      </w:r>
    </w:p>
    <w:p w14:paraId="52859AD3" w14:textId="77777777" w:rsidR="00F91C53" w:rsidRPr="008E5553" w:rsidRDefault="00F91C53" w:rsidP="00F91C53">
      <w:pPr>
        <w:pStyle w:val="NormalHanging12a"/>
      </w:pPr>
      <w:r w:rsidRPr="008E5553">
        <w:t>E.</w:t>
      </w:r>
      <w:r w:rsidRPr="008E5553">
        <w:tab/>
        <w:t>vzhledem k tomu, že vnitrostátní předběžné financování a spolufinancování příslušných opatření zajišťuje úřad VDAB;</w:t>
      </w:r>
    </w:p>
    <w:p w14:paraId="6A917461" w14:textId="77777777" w:rsidR="00F91C53" w:rsidRPr="008E5553" w:rsidRDefault="00F91C53" w:rsidP="00F91C53">
      <w:pPr>
        <w:pStyle w:val="NormalHanging12a"/>
      </w:pPr>
      <w:r w:rsidRPr="008E5553">
        <w:t>F.</w:t>
      </w:r>
      <w:r w:rsidRPr="008E5553">
        <w:tab/>
        <w:t>vzhledem k tomu, že příslušné podniky splnily požadavky stanovené v unijních a vnitrostátních právních předpisech, které se týkají hromadného propouštění;</w:t>
      </w:r>
    </w:p>
    <w:p w14:paraId="692AA45F" w14:textId="77777777" w:rsidR="00F91C53" w:rsidRPr="008E5553" w:rsidRDefault="00F91C53" w:rsidP="00F91C53">
      <w:pPr>
        <w:pStyle w:val="NormalHanging12a"/>
      </w:pPr>
      <w:r w:rsidRPr="008E5553">
        <w:t>G.</w:t>
      </w:r>
      <w:r w:rsidRPr="008E5553">
        <w:tab/>
        <w:t>vzhledem k tomu, že finanční příspěvky z fondu EFG by měly primárně směřovat na aktivní opatření politiky v oblasti trhu práce a na individualizované služby, jejichž cílem je rychle začlenit příjemce pomoci na trh práce a zároveň jim nabídnout odbornou přípravu v oblasti dovedností, která jim usnadní přístup na trh práce;</w:t>
      </w:r>
    </w:p>
    <w:p w14:paraId="23F0C960" w14:textId="77777777" w:rsidR="00F91C53" w:rsidRPr="008E5553" w:rsidRDefault="00F91C53" w:rsidP="00F91C53">
      <w:pPr>
        <w:pStyle w:val="NormalHanging12a"/>
      </w:pPr>
      <w:r w:rsidRPr="008E5553">
        <w:t>H.</w:t>
      </w:r>
      <w:r w:rsidRPr="008E5553">
        <w:tab/>
        <w:t xml:space="preserve">vzhledem k tomu, že fond EFG nesmí překročit maximální roční částku 30 milionů </w:t>
      </w:r>
      <w:r w:rsidRPr="008E5553">
        <w:lastRenderedPageBreak/>
        <w:t>EUR (v cenách roku 2018)</w:t>
      </w:r>
      <w:r w:rsidRPr="008E5553">
        <w:rPr>
          <w:rStyle w:val="FootnoteReference"/>
        </w:rPr>
        <w:footnoteReference w:id="6"/>
      </w:r>
      <w:r w:rsidRPr="008E5553">
        <w:t xml:space="preserve">; </w:t>
      </w:r>
    </w:p>
    <w:p w14:paraId="676A1AD3" w14:textId="77777777" w:rsidR="00F91C53" w:rsidRPr="008E5553" w:rsidRDefault="00F91C53" w:rsidP="00F91C53">
      <w:pPr>
        <w:pStyle w:val="NormalHanging12a"/>
      </w:pPr>
      <w:r w:rsidRPr="008E5553">
        <w:t>1.</w:t>
      </w:r>
      <w:r w:rsidRPr="008E5553">
        <w:tab/>
        <w:t>souhlasí s Komisí, že podmínky stanovené v nařízení o EFG, a zejména v čl. 4 odst. 2 písm. a) tohoto nařízení byly splněny, a Belgie má proto podle uvedeného nařízení nárok na finanční příspěvek ve výši 1 916 733 EUR, což představuje 85 % celkových nákladů, které činí 2 254 980 EUR a zahrnují výdaje na individualizované služby ve výši 2 168 980 EUR a výdaje na přípravné, řídicí, informační, propagační, kontrolní a vykazovací činnosti ve výši 86 000 EUR;</w:t>
      </w:r>
    </w:p>
    <w:p w14:paraId="6C93FE45" w14:textId="77777777" w:rsidR="00F91C53" w:rsidRPr="008E5553" w:rsidRDefault="00F91C53" w:rsidP="00F91C53">
      <w:pPr>
        <w:pStyle w:val="NormalHanging12a"/>
      </w:pPr>
      <w:r w:rsidRPr="008E5553">
        <w:t>2.</w:t>
      </w:r>
      <w:r w:rsidRPr="008E5553">
        <w:tab/>
        <w:t>konstatuje, že belgické orgány podaly žádost dne 23. září 2025 a že poté, co Belgie poskytla další informace, dokončila Komise dne 6. února 2026 své posouzení a dne 11. února 2026 o tom informovala Parlament; zdůrazňuje, že je důležité zkrátit dobu mezi podáním žádosti o pomoc z fondu EFG a rozhodnutím o financování a zároveň v plné míře ochránit práva Evropského parlamentu jako složky rozpočtového orgánu;</w:t>
      </w:r>
    </w:p>
    <w:p w14:paraId="048E934F" w14:textId="77777777" w:rsidR="00F91C53" w:rsidRPr="008E5553" w:rsidRDefault="00F91C53" w:rsidP="00F91C53">
      <w:pPr>
        <w:pStyle w:val="NormalHanging12a"/>
      </w:pPr>
      <w:r w:rsidRPr="008E5553">
        <w:t>3.</w:t>
      </w:r>
      <w:r w:rsidRPr="008E5553">
        <w:tab/>
        <w:t xml:space="preserve">konstatuje, že žádost se týká pracovníků, jejichž činnost byla ukončena ve dvou podnicích </w:t>
      </w:r>
      <w:proofErr w:type="spellStart"/>
      <w:r w:rsidRPr="008E5553">
        <w:t>Casa</w:t>
      </w:r>
      <w:proofErr w:type="spellEnd"/>
      <w:r w:rsidRPr="008E5553">
        <w:t>, a že všichni tito pracovníci budou cílovými příjemci;</w:t>
      </w:r>
    </w:p>
    <w:p w14:paraId="6CB5E316" w14:textId="373AC3AE" w:rsidR="00F91C53" w:rsidRPr="008E5553" w:rsidRDefault="00F91C53" w:rsidP="00F91C53">
      <w:pPr>
        <w:pStyle w:val="NormalHanging12a"/>
      </w:pPr>
      <w:r w:rsidRPr="008E5553">
        <w:t>4.</w:t>
      </w:r>
      <w:r w:rsidRPr="008E5553">
        <w:tab/>
        <w:t xml:space="preserve">bere na vědomí, že společnost </w:t>
      </w:r>
      <w:proofErr w:type="spellStart"/>
      <w:r w:rsidRPr="008E5553">
        <w:t>Casa</w:t>
      </w:r>
      <w:proofErr w:type="spellEnd"/>
      <w:r w:rsidRPr="008E5553">
        <w:t xml:space="preserve"> se několik let před vyhlášením úpadku potýkala s finančními obtížemi vyplývajícími ze stále většího rozšíření elektronického obchodu, intenzivnější mezinárodní konkurence a nespravedlivých podmínek hospodářské soutěže, což v konečném důsledku vedlo k závažnému nedostatku likvidity a</w:t>
      </w:r>
      <w:r w:rsidR="00CF603E">
        <w:t xml:space="preserve"> k</w:t>
      </w:r>
      <w:r w:rsidR="00CF603E" w:rsidRPr="008E5553">
        <w:t> </w:t>
      </w:r>
      <w:r w:rsidRPr="008E5553">
        <w:t>neschopnosti nalézt pro společnost potenciální kupce; zdůrazňuje, že je třeba zlepšit schopnost vedoucích pracovníků předcházet propouštění adaptací podniků na aktuální geopolitický kontext a proaktivně zvládat významné restrukturalizační události;</w:t>
      </w:r>
    </w:p>
    <w:p w14:paraId="18D5B556" w14:textId="77777777" w:rsidR="00F91C53" w:rsidRPr="008E5553" w:rsidRDefault="00F91C53" w:rsidP="00F91C53">
      <w:pPr>
        <w:pStyle w:val="NormalHanging12a"/>
        <w:rPr>
          <w:noProof/>
        </w:rPr>
      </w:pPr>
      <w:r w:rsidRPr="008E5553">
        <w:t>5.</w:t>
      </w:r>
      <w:r w:rsidRPr="008E5553">
        <w:tab/>
        <w:t>konstatuje, že zatímco propuštění prodavači mají velmi příznivé vyhlídky na zaměstnání, pro pracovníky ve skladech je nalezení nových pracovních míst obtížnější, a potřebují tudíž dodatečnou podporu prostřednictvím prohlubování dovedností, změny kvalifikace, přemístění nebo přechodu na jiné pracovní místo; vyzývá belgické orgány, aby pracovníkům poskytly zvláštní individualizovanou podporu, která jim pomůže překonat jejich nedostatky a nalézt nová pracovní místa v souladu s potřebami trhu práce; zdůrazňuje, že opětovné začlenění propuštěných pracovníků je klíčem k evropskému hospodářství se silnou průmyslovou základnou, které obstojí i v budoucnu;</w:t>
      </w:r>
    </w:p>
    <w:p w14:paraId="599A5EE9" w14:textId="6471C193" w:rsidR="00F91C53" w:rsidRPr="008E5553" w:rsidRDefault="00F91C53" w:rsidP="00F91C53">
      <w:pPr>
        <w:pStyle w:val="NormalHanging12a"/>
      </w:pPr>
      <w:r w:rsidRPr="008E5553">
        <w:t>6.</w:t>
      </w:r>
      <w:r w:rsidRPr="008E5553">
        <w:tab/>
        <w:t>lituje, že nárůst počtu úpadků v posledních dvou letech měl v některých regionech Belgie, zejména v Bruselu a Olenu (provincie Antverpy), negativní dopad na míru zaměstnanosti; konstatuje, že v Belgii došlo v důsledku úpadků  během 18 měsíců ke ztrátě přibližně 45 000 pracovních míst</w:t>
      </w:r>
      <w:r w:rsidR="001548AF">
        <w:t xml:space="preserve">, </w:t>
      </w:r>
      <w:r w:rsidR="001548AF" w:rsidRPr="008E5553">
        <w:t>většinou ve Vlámsku</w:t>
      </w:r>
      <w:r w:rsidRPr="008E5553">
        <w:t>; zdůrazňuje, že ve Vlámsku je riziko nezaměstnanosti více než dvojnásobné u osob s nižším vzděláním; zdůrazňuje důležitost prostředí příznivého pro podnikání, neboť podnikům umožňuje zůstat konkurenceschopné, vytváří pracovní místa a přispívá k udržitelnému hospodářskému růstu;</w:t>
      </w:r>
    </w:p>
    <w:p w14:paraId="1237F31A" w14:textId="77777777" w:rsidR="00F91C53" w:rsidRPr="008E5553" w:rsidRDefault="00F91C53" w:rsidP="00F91C53">
      <w:pPr>
        <w:pStyle w:val="NormalHanging12a"/>
      </w:pPr>
      <w:r w:rsidRPr="008E5553">
        <w:t>7.</w:t>
      </w:r>
      <w:r w:rsidRPr="008E5553">
        <w:tab/>
        <w:t xml:space="preserve">připomíná, že po dohodě s odborníky a sociálními partnery budou pracovníkům poskytovány individualizované služby, které budou zahrnovat tato opatření: informační schůzky ohledně poradenství v oblasti opětovného začlenění do pracovního procesu; služby </w:t>
      </w:r>
      <w:proofErr w:type="spellStart"/>
      <w:r w:rsidRPr="008E5553">
        <w:t>outplacementu</w:t>
      </w:r>
      <w:proofErr w:type="spellEnd"/>
      <w:r w:rsidRPr="008E5553">
        <w:t xml:space="preserve">, které pracovníkům pomohou při hledání zaměstnání; aktivní </w:t>
      </w:r>
      <w:r w:rsidRPr="008E5553">
        <w:lastRenderedPageBreak/>
        <w:t xml:space="preserve">mediace se zaměřením na profily jednotlivých uchazečů o zaměstnání; individualizované programy pro rozvoj dovedností, včetně dovedností v oblasti informačních technologií; odborná příprava a rekvalifikace; individuální odborná příprava na pracovišti: účast na veletrhu pracovních příležitostí; zdůrazňuje, že je důležité podporovat vysoce kvalitní pracovní místa zaměřená na budoucnost, která posilují konkurenceschopnost a podporují digitální transformaci, a zároveň zajistit, aby byl EFG řádně prováděn a přispíval k dlouhodobé hospodářské a sociální odolnosti Unie; zdůrazňuje, že sociální partneři by měli být zapojeni do celého provádění opatření EFG, včetně fáze monitorování, aby byla zajištěna kvalita a relevantnost podpory nabízené příjemcům; </w:t>
      </w:r>
    </w:p>
    <w:p w14:paraId="0775F9DA" w14:textId="1F4F6CAB" w:rsidR="00F91C53" w:rsidRPr="008E5553" w:rsidRDefault="00F91C53" w:rsidP="00F91C53">
      <w:pPr>
        <w:pStyle w:val="NormalHanging12a"/>
      </w:pPr>
      <w:r w:rsidRPr="008E5553">
        <w:t>8.</w:t>
      </w:r>
      <w:r w:rsidRPr="008E5553">
        <w:tab/>
        <w:t>připomíná, že EFG je nástrojem solidarity a spravedlivé transformace, a přestože poskytuje podporu po ztrátě pracovních míst, nemůže nahradit proaktivní průmyslovou politiku; domnívá se, že uvolnění prostředků z EFG musí být součástí širší politické reakce na všech politických úrovních</w:t>
      </w:r>
      <w:r w:rsidR="00D766D1">
        <w:t xml:space="preserve"> s cílem</w:t>
      </w:r>
      <w:r w:rsidRPr="008E5553">
        <w:t xml:space="preserve"> zajisti</w:t>
      </w:r>
      <w:r w:rsidR="00D766D1">
        <w:t>t</w:t>
      </w:r>
      <w:r w:rsidRPr="008E5553">
        <w:t xml:space="preserve">, </w:t>
      </w:r>
      <w:r w:rsidR="00D766D1">
        <w:t>aby</w:t>
      </w:r>
      <w:r w:rsidRPr="008E5553">
        <w:t xml:space="preserve"> dotč</w:t>
      </w:r>
      <w:r w:rsidR="00D766D1">
        <w:t>e</w:t>
      </w:r>
      <w:r w:rsidRPr="008E5553">
        <w:t>ní pracovníci na</w:t>
      </w:r>
      <w:r w:rsidR="00D766D1">
        <w:t>lezli</w:t>
      </w:r>
      <w:r w:rsidRPr="008E5553">
        <w:t xml:space="preserve"> odpovídající příležitosti v souladu se svou kvalifikací a dovednostmi; zdůrazňuje, že prvořadým úkolem Unie musí být zejména předcházet uzavírání podniků tím, že vytvoří podmínky, aby byla průmyslová výroba i nadále konkurenceschopná, a zároveň bude investovat do rozvoje dovedností vysoce kvalifikovaných pracovníků i pracovníků v průmyslu; zdůrazňuje potřebu poskytovat pracovníkům s nízkou úrovní vzdělání zvláštní individualizovanou podporu přizpůsobenou jejich profilům a zároveň přijímat opatření ke snížení počtu úpadků a k řešení sociálních nerovností, které mají za následek vyloučení z pracovního trhu;</w:t>
      </w:r>
    </w:p>
    <w:p w14:paraId="53FEC5A9" w14:textId="77777777" w:rsidR="00F91C53" w:rsidRPr="008E5553" w:rsidRDefault="00F91C53" w:rsidP="00F91C53">
      <w:pPr>
        <w:pStyle w:val="NormalHanging12a"/>
        <w:rPr>
          <w:bCs/>
          <w:iCs/>
        </w:rPr>
      </w:pPr>
      <w:r w:rsidRPr="008E5553">
        <w:t>9.</w:t>
      </w:r>
      <w:r w:rsidRPr="008E5553">
        <w:tab/>
        <w:t>zdůrazňuje, že belgické orgány musí zajistit viditelnost finančních prostředků Unie a poukazovat na jejich přínos tím, že příjemcům, regionálním a místním orgánům, sociálním partnerům a širší veřejnosti poskytnou účinné a cílené informace;</w:t>
      </w:r>
    </w:p>
    <w:p w14:paraId="6FF1B756" w14:textId="77777777" w:rsidR="00F91C53" w:rsidRPr="008E5553" w:rsidRDefault="00F91C53" w:rsidP="00F91C53">
      <w:pPr>
        <w:pStyle w:val="NormalHanging12a"/>
      </w:pPr>
      <w:r w:rsidRPr="008E5553">
        <w:t>10.</w:t>
      </w:r>
      <w:r w:rsidRPr="008E5553">
        <w:tab/>
        <w:t>vyzývá k důkladnému závěrečnému hodnocení provedených opatření, včetně uvedení jasných informací o tom, jak byly finanční prostředky využity, jak bylo opětovné začlenění pracovníků na trh práce úspěšné a zda opatření dosáhla cílů, kvůli nimž byl EFG vytvořen;</w:t>
      </w:r>
    </w:p>
    <w:p w14:paraId="2713615E" w14:textId="77777777" w:rsidR="00F91C53" w:rsidRPr="008E5553" w:rsidRDefault="00F91C53" w:rsidP="00F91C53">
      <w:pPr>
        <w:pStyle w:val="NormalHanging12a"/>
      </w:pPr>
      <w:r w:rsidRPr="008E5553">
        <w:t>11.</w:t>
      </w:r>
      <w:r w:rsidRPr="008E5553">
        <w:tab/>
        <w:t>konstatuje, že Belgie začala poskytovat individualizované služby cílovým příjemcům dne 14. března 2025, a že období způsobilosti pro finanční příspěvek z fondu EFG tudíž trvá od tohoto data po dobu 24 měsíců ode dne vstupu rozhodnutí o financování v platnost;</w:t>
      </w:r>
    </w:p>
    <w:p w14:paraId="2D8B2832" w14:textId="77777777" w:rsidR="00F91C53" w:rsidRPr="008E5553" w:rsidRDefault="00F91C53" w:rsidP="00F91C53">
      <w:pPr>
        <w:pStyle w:val="NormalHanging12a"/>
        <w:rPr>
          <w:sz w:val="23"/>
          <w:szCs w:val="23"/>
        </w:rPr>
      </w:pPr>
      <w:r w:rsidRPr="008E5553">
        <w:t>12.</w:t>
      </w:r>
      <w:r w:rsidRPr="008E5553">
        <w:tab/>
        <w:t>konstatuje, že Belgii začaly vznikat administrativní výdaje spojené s vynakládáním prostředků z fondu EFG dne 6. března 2025, a že tyto výdaje jsou proto způsobilé pro finanční příspěvek z tohoto fondu od uvedeného data po dobu 31 měsíců ode dne vstupu rozhodnutí o financování v platnost;</w:t>
      </w:r>
    </w:p>
    <w:p w14:paraId="4E91BFDC" w14:textId="77777777" w:rsidR="00F91C53" w:rsidRPr="008E5553" w:rsidRDefault="00F91C53" w:rsidP="00F91C53">
      <w:pPr>
        <w:pStyle w:val="NormalHanging12a"/>
      </w:pPr>
      <w:r w:rsidRPr="008E5553">
        <w:t>13.</w:t>
      </w:r>
      <w:r w:rsidRPr="008E5553">
        <w:tab/>
        <w:t>konstatuje, že belgické orgány potvrdily, že při přístupu k navrhovaným opatřením a při jejich provádění budou dodržovat zásady rovného zacházení a zákazu diskriminace a že zamezí dvojímu financování;</w:t>
      </w:r>
    </w:p>
    <w:p w14:paraId="487A2F84" w14:textId="77777777" w:rsidR="00F91C53" w:rsidRPr="008E5553" w:rsidRDefault="00F91C53" w:rsidP="00F91C53">
      <w:pPr>
        <w:pStyle w:val="NormalHanging12a"/>
      </w:pPr>
      <w:r w:rsidRPr="008E5553">
        <w:t>14.</w:t>
      </w:r>
      <w:r w:rsidRPr="008E5553">
        <w:tab/>
        <w:t>opakuje, že pomoc z EFG nesmí nahrazovat opatření, za něž na základě vnitrostátních právních předpisů nebo kolektivních smluv odpovídají veřejné orgány nebo podniky; připomíná, že EFG je omezeným, cíleným a doplňkovým mechanismem;</w:t>
      </w:r>
    </w:p>
    <w:p w14:paraId="127DB791" w14:textId="77777777" w:rsidR="00F91C53" w:rsidRPr="008E5553" w:rsidRDefault="00F91C53" w:rsidP="00F91C53">
      <w:pPr>
        <w:pStyle w:val="NormalHanging12a"/>
      </w:pPr>
      <w:r w:rsidRPr="008E5553">
        <w:lastRenderedPageBreak/>
        <w:t>15.</w:t>
      </w:r>
      <w:r w:rsidRPr="008E5553">
        <w:tab/>
        <w:t>schvaluje rozhodnutí uvedené v příloze k tomuto usnesení;</w:t>
      </w:r>
    </w:p>
    <w:p w14:paraId="7BF7FCA1" w14:textId="77777777" w:rsidR="00F91C53" w:rsidRPr="008E5553" w:rsidRDefault="00F91C53" w:rsidP="00F91C53">
      <w:pPr>
        <w:pStyle w:val="NormalHanging12a"/>
      </w:pPr>
      <w:r w:rsidRPr="008E5553">
        <w:t>16.</w:t>
      </w:r>
      <w:r w:rsidRPr="008E5553">
        <w:tab/>
        <w:t>pověřuje svou předsedkyni, aby podepsala toto rozhodnutí společně s předsedou Rady a aby zajistila jeho zveřejnění v </w:t>
      </w:r>
      <w:r w:rsidRPr="008E5553">
        <w:rPr>
          <w:i/>
        </w:rPr>
        <w:t>Úředním věstníku Evropské unie</w:t>
      </w:r>
      <w:r w:rsidRPr="008E5553">
        <w:t>;</w:t>
      </w:r>
    </w:p>
    <w:p w14:paraId="73A3AD36" w14:textId="77777777" w:rsidR="00F91C53" w:rsidRPr="008E5553" w:rsidRDefault="00F91C53" w:rsidP="00F91C53">
      <w:pPr>
        <w:pStyle w:val="NormalHanging12a"/>
      </w:pPr>
      <w:r w:rsidRPr="008E5553">
        <w:t>17.</w:t>
      </w:r>
      <w:r w:rsidRPr="008E5553">
        <w:tab/>
        <w:t>pověřuje svou předsedkyni, aby předala toto usnesení včetně přílohy Radě a Komisi.</w:t>
      </w:r>
    </w:p>
    <w:p w14:paraId="07634746" w14:textId="77777777" w:rsidR="002E406E" w:rsidRDefault="002E406E" w:rsidP="002E406E">
      <w:pPr>
        <w:widowControl/>
        <w:sectPr w:rsidR="002E406E" w:rsidSect="008E555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6" w:name="_Toc224806341"/>
      <w:bookmarkStart w:id="7" w:name="_Hlk219192825"/>
    </w:p>
    <w:p w14:paraId="1D9CA309" w14:textId="77777777" w:rsidR="0065413C" w:rsidRPr="0065413C" w:rsidRDefault="00F91C53" w:rsidP="0065413C">
      <w:pPr>
        <w:widowControl/>
        <w:spacing w:before="120" w:after="120" w:line="360" w:lineRule="auto"/>
        <w:jc w:val="center"/>
        <w:rPr>
          <w:b/>
          <w:bCs/>
        </w:rPr>
      </w:pPr>
      <w:r w:rsidRPr="0065413C">
        <w:rPr>
          <w:b/>
          <w:bCs/>
        </w:rPr>
        <w:lastRenderedPageBreak/>
        <w:t>PŘÍLOHA</w:t>
      </w:r>
    </w:p>
    <w:p w14:paraId="48D775E6" w14:textId="410CA82D" w:rsidR="00F91C53" w:rsidRPr="0065413C" w:rsidRDefault="00F91C53" w:rsidP="0065413C">
      <w:pPr>
        <w:widowControl/>
        <w:spacing w:before="120" w:after="120" w:line="360" w:lineRule="auto"/>
        <w:jc w:val="center"/>
        <w:rPr>
          <w:bCs/>
        </w:rPr>
      </w:pPr>
      <w:r w:rsidRPr="0065413C">
        <w:rPr>
          <w:b/>
          <w:bCs/>
        </w:rPr>
        <w:t>ROZHODNUTÍ EVROPSKÉHO PARLAMENTU A RADY</w:t>
      </w:r>
      <w:bookmarkEnd w:id="6"/>
    </w:p>
    <w:p w14:paraId="0CD2C822" w14:textId="77777777" w:rsidR="00F91C53" w:rsidRDefault="00F91C53" w:rsidP="00F91C53">
      <w:pPr>
        <w:pStyle w:val="Titreobjet"/>
      </w:pPr>
      <w:r w:rsidRPr="008E5553">
        <w:t>o uvolnění prostředků z Evropského fondu pro přizpůsobení se globalizaci na pomoc propuštěným pracovníkům na základě žádosti Belgie – EGF/2025/007 BE/</w:t>
      </w:r>
      <w:proofErr w:type="spellStart"/>
      <w:r w:rsidRPr="008E5553">
        <w:t>Casa</w:t>
      </w:r>
      <w:proofErr w:type="spellEnd"/>
    </w:p>
    <w:p w14:paraId="44B9B0C5" w14:textId="49E048DB" w:rsidR="0065413C" w:rsidRPr="0065413C" w:rsidRDefault="0065413C" w:rsidP="0065413C">
      <w:pPr>
        <w:rPr>
          <w:i/>
          <w:iCs/>
          <w:lang w:eastAsia="en-US"/>
        </w:rPr>
      </w:pPr>
      <w:r w:rsidRPr="0065413C">
        <w:rPr>
          <w:i/>
          <w:iCs/>
          <w:lang w:eastAsia="en-US"/>
        </w:rPr>
        <w:t>(Znění této přílohy se zde neuvádí, jelikož odpovídá znění konečného aktu, rozhodnutí (EU) 2026/</w:t>
      </w:r>
      <w:r>
        <w:rPr>
          <w:i/>
          <w:iCs/>
          <w:lang w:eastAsia="en-US"/>
        </w:rPr>
        <w:t>851</w:t>
      </w:r>
      <w:r w:rsidRPr="0065413C">
        <w:rPr>
          <w:i/>
          <w:iCs/>
          <w:lang w:eastAsia="en-US"/>
        </w:rPr>
        <w:t>.)</w:t>
      </w:r>
    </w:p>
    <w:bookmarkEnd w:id="7"/>
    <w:sectPr w:rsidR="0065413C" w:rsidRPr="0065413C" w:rsidSect="008E555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0A23D" w14:textId="77777777" w:rsidR="00AE21B8" w:rsidRPr="008E5553" w:rsidRDefault="00AE21B8">
      <w:r w:rsidRPr="008E5553">
        <w:separator/>
      </w:r>
    </w:p>
  </w:endnote>
  <w:endnote w:type="continuationSeparator" w:id="0">
    <w:p w14:paraId="73CC571E" w14:textId="77777777" w:rsidR="00AE21B8" w:rsidRPr="008E5553" w:rsidRDefault="00AE21B8">
      <w:r w:rsidRPr="008E55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A4BDA" w14:textId="77777777" w:rsidR="00064002" w:rsidRPr="008E55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D8CC4" w14:textId="77777777" w:rsidR="00064002" w:rsidRPr="008E55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32D26" w14:textId="77777777" w:rsidR="00064002" w:rsidRPr="008E55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1ADC3" w14:textId="77777777" w:rsidR="00AE21B8" w:rsidRPr="008E5553" w:rsidRDefault="00AE21B8">
      <w:r w:rsidRPr="008E5553">
        <w:separator/>
      </w:r>
    </w:p>
  </w:footnote>
  <w:footnote w:type="continuationSeparator" w:id="0">
    <w:p w14:paraId="23EF0383" w14:textId="77777777" w:rsidR="00AE21B8" w:rsidRPr="008E5553" w:rsidRDefault="00AE21B8">
      <w:r w:rsidRPr="008E5553">
        <w:continuationSeparator/>
      </w:r>
    </w:p>
  </w:footnote>
  <w:footnote w:id="1">
    <w:p w14:paraId="5C94F49A" w14:textId="0B7D2ECE" w:rsidR="00F91C53" w:rsidRPr="008E5553" w:rsidRDefault="00F91C53" w:rsidP="008E5553">
      <w:pPr>
        <w:pStyle w:val="FootnoteText"/>
        <w:ind w:left="567" w:hanging="567"/>
        <w:rPr>
          <w:sz w:val="24"/>
          <w:lang w:val="cs-CZ"/>
        </w:rPr>
      </w:pPr>
      <w:r w:rsidRPr="008E5553">
        <w:rPr>
          <w:rStyle w:val="FootnoteReference"/>
          <w:sz w:val="24"/>
          <w:lang w:val="cs-CZ"/>
        </w:rPr>
        <w:footnoteRef/>
      </w:r>
      <w:r w:rsidR="008E5553" w:rsidRPr="008E5553">
        <w:rPr>
          <w:sz w:val="24"/>
          <w:lang w:val="cs-CZ"/>
        </w:rPr>
        <w:t xml:space="preserve"> </w:t>
      </w:r>
      <w:r w:rsidR="008E5553" w:rsidRPr="008E5553">
        <w:rPr>
          <w:sz w:val="24"/>
          <w:lang w:val="cs-CZ"/>
        </w:rPr>
        <w:tab/>
      </w:r>
      <w:proofErr w:type="spellStart"/>
      <w:r w:rsidRPr="008E5553">
        <w:rPr>
          <w:sz w:val="24"/>
          <w:lang w:val="cs-CZ"/>
        </w:rPr>
        <w:t>Úř</w:t>
      </w:r>
      <w:proofErr w:type="spellEnd"/>
      <w:r w:rsidRPr="008E5553">
        <w:rPr>
          <w:sz w:val="24"/>
          <w:lang w:val="cs-CZ"/>
        </w:rPr>
        <w:t xml:space="preserve">. </w:t>
      </w:r>
      <w:proofErr w:type="spellStart"/>
      <w:r w:rsidRPr="008E5553">
        <w:rPr>
          <w:sz w:val="24"/>
          <w:lang w:val="cs-CZ"/>
        </w:rPr>
        <w:t>věst</w:t>
      </w:r>
      <w:proofErr w:type="spellEnd"/>
      <w:r w:rsidRPr="008E5553">
        <w:rPr>
          <w:sz w:val="24"/>
          <w:lang w:val="cs-CZ"/>
        </w:rPr>
        <w:t xml:space="preserve">. L 153, 3.5.2021, s. 48, ELI: </w:t>
      </w:r>
      <w:r>
        <w:fldChar w:fldCharType="begin"/>
      </w:r>
      <w:r w:rsidRPr="0065413C">
        <w:rPr>
          <w:lang w:val="fi-FI"/>
        </w:rPr>
        <w:instrText>HYPERLINK "http://data.europa.eu/eli/reg/2021/691/oj"</w:instrText>
      </w:r>
      <w:r>
        <w:fldChar w:fldCharType="separate"/>
      </w:r>
      <w:r w:rsidRPr="008E5553">
        <w:rPr>
          <w:rStyle w:val="Hyperlink"/>
          <w:sz w:val="24"/>
          <w:lang w:val="cs-CZ"/>
        </w:rPr>
        <w:t>http://data.europa.eu/eli/reg/2021/691/oj</w:t>
      </w:r>
      <w:r>
        <w:fldChar w:fldCharType="end"/>
      </w:r>
      <w:r w:rsidRPr="008E5553">
        <w:rPr>
          <w:sz w:val="24"/>
          <w:lang w:val="cs-CZ"/>
        </w:rPr>
        <w:t>.</w:t>
      </w:r>
    </w:p>
  </w:footnote>
  <w:footnote w:id="2">
    <w:p w14:paraId="5978AB09" w14:textId="33707B64" w:rsidR="00F91C53" w:rsidRPr="008E5553" w:rsidRDefault="00F91C53" w:rsidP="008E5553">
      <w:pPr>
        <w:pStyle w:val="FootnoteText"/>
        <w:ind w:left="567" w:hanging="567"/>
        <w:rPr>
          <w:sz w:val="24"/>
          <w:lang w:val="cs-CZ"/>
        </w:rPr>
      </w:pPr>
      <w:r w:rsidRPr="008E5553">
        <w:rPr>
          <w:rStyle w:val="FootnoteReference"/>
          <w:sz w:val="24"/>
          <w:lang w:val="cs-CZ"/>
        </w:rPr>
        <w:footnoteRef/>
      </w:r>
      <w:r w:rsidR="008E5553" w:rsidRPr="008E5553">
        <w:rPr>
          <w:sz w:val="24"/>
          <w:lang w:val="cs-CZ"/>
        </w:rPr>
        <w:t xml:space="preserve"> </w:t>
      </w:r>
      <w:r w:rsidR="008E5553" w:rsidRPr="008E5553">
        <w:rPr>
          <w:sz w:val="24"/>
          <w:lang w:val="cs-CZ"/>
        </w:rPr>
        <w:tab/>
      </w:r>
      <w:proofErr w:type="spellStart"/>
      <w:r w:rsidRPr="008E5553">
        <w:rPr>
          <w:sz w:val="24"/>
          <w:lang w:val="cs-CZ"/>
        </w:rPr>
        <w:t>Úř</w:t>
      </w:r>
      <w:proofErr w:type="spellEnd"/>
      <w:r w:rsidRPr="008E5553">
        <w:rPr>
          <w:sz w:val="24"/>
          <w:lang w:val="cs-CZ"/>
        </w:rPr>
        <w:t xml:space="preserve">. </w:t>
      </w:r>
      <w:proofErr w:type="spellStart"/>
      <w:r w:rsidRPr="008E5553">
        <w:rPr>
          <w:sz w:val="24"/>
          <w:lang w:val="cs-CZ"/>
        </w:rPr>
        <w:t>věst</w:t>
      </w:r>
      <w:proofErr w:type="spellEnd"/>
      <w:r w:rsidRPr="008E5553">
        <w:rPr>
          <w:sz w:val="24"/>
          <w:lang w:val="cs-CZ"/>
        </w:rPr>
        <w:t xml:space="preserve">. L 433 I, 22.12.2020, s. 11, ELI: </w:t>
      </w:r>
      <w:r>
        <w:fldChar w:fldCharType="begin"/>
      </w:r>
      <w:r w:rsidRPr="0065413C">
        <w:rPr>
          <w:lang w:val="cs-CZ"/>
        </w:rPr>
        <w:instrText>HYPERLINK "http://data.europa.eu/eli/reg/2020/2093/oj"</w:instrText>
      </w:r>
      <w:r>
        <w:fldChar w:fldCharType="separate"/>
      </w:r>
      <w:r w:rsidRPr="008E5553">
        <w:rPr>
          <w:rStyle w:val="Hyperlink"/>
          <w:sz w:val="24"/>
          <w:lang w:val="cs-CZ"/>
        </w:rPr>
        <w:t>http://data.europa.eu/eli/reg/2020/2093/oj</w:t>
      </w:r>
      <w:r>
        <w:fldChar w:fldCharType="end"/>
      </w:r>
      <w:r w:rsidRPr="008E5553">
        <w:rPr>
          <w:sz w:val="24"/>
          <w:lang w:val="cs-CZ"/>
        </w:rPr>
        <w:t>.</w:t>
      </w:r>
    </w:p>
  </w:footnote>
  <w:footnote w:id="3">
    <w:p w14:paraId="0546521D" w14:textId="483EDDDD" w:rsidR="00F91C53" w:rsidRPr="008E5553" w:rsidRDefault="00F91C53" w:rsidP="008E5553">
      <w:pPr>
        <w:pStyle w:val="FootnoteText"/>
        <w:ind w:left="567" w:hanging="567"/>
        <w:rPr>
          <w:sz w:val="24"/>
          <w:lang w:val="cs-CZ"/>
        </w:rPr>
      </w:pPr>
      <w:r w:rsidRPr="008E5553">
        <w:rPr>
          <w:rStyle w:val="FootnoteReference"/>
          <w:sz w:val="24"/>
          <w:lang w:val="cs-CZ"/>
        </w:rPr>
        <w:footnoteRef/>
      </w:r>
      <w:r w:rsidR="008E5553" w:rsidRPr="008E5553">
        <w:rPr>
          <w:sz w:val="24"/>
          <w:shd w:val="clear" w:color="auto" w:fill="FFFFFF"/>
          <w:lang w:val="cs-CZ"/>
        </w:rPr>
        <w:t xml:space="preserve"> </w:t>
      </w:r>
      <w:r w:rsidR="008E5553" w:rsidRPr="008E5553">
        <w:rPr>
          <w:sz w:val="24"/>
          <w:shd w:val="clear" w:color="auto" w:fill="FFFFFF"/>
          <w:lang w:val="cs-CZ"/>
        </w:rPr>
        <w:tab/>
      </w:r>
      <w:r w:rsidRPr="008E5553">
        <w:rPr>
          <w:sz w:val="24"/>
          <w:shd w:val="clear" w:color="auto" w:fill="FFFFFF"/>
          <w:lang w:val="cs-CZ"/>
        </w:rPr>
        <w:t>Nařízení Rady (EU, Euratom) 2024/765 ze dne 29. února 2024, kterým se mění nařízení (EU, Euratom) 2020/2093, kterým se stanoví víceletý finanční rámec na období 2021–2027 (</w:t>
      </w:r>
      <w:proofErr w:type="spellStart"/>
      <w:r w:rsidRPr="008E5553">
        <w:rPr>
          <w:sz w:val="24"/>
          <w:shd w:val="clear" w:color="auto" w:fill="FFFFFF"/>
          <w:lang w:val="cs-CZ"/>
        </w:rPr>
        <w:t>Úř</w:t>
      </w:r>
      <w:proofErr w:type="spellEnd"/>
      <w:r w:rsidRPr="008E5553">
        <w:rPr>
          <w:sz w:val="24"/>
          <w:shd w:val="clear" w:color="auto" w:fill="FFFFFF"/>
          <w:lang w:val="cs-CZ"/>
        </w:rPr>
        <w:t>. </w:t>
      </w:r>
      <w:proofErr w:type="spellStart"/>
      <w:r w:rsidRPr="008E5553">
        <w:rPr>
          <w:sz w:val="24"/>
          <w:shd w:val="clear" w:color="auto" w:fill="FFFFFF"/>
          <w:lang w:val="cs-CZ"/>
        </w:rPr>
        <w:t>věst</w:t>
      </w:r>
      <w:proofErr w:type="spellEnd"/>
      <w:r w:rsidRPr="008E5553">
        <w:rPr>
          <w:sz w:val="24"/>
          <w:shd w:val="clear" w:color="auto" w:fill="FFFFFF"/>
          <w:lang w:val="cs-CZ"/>
        </w:rPr>
        <w:t xml:space="preserve">. L, 2024/765, 29.2.2024, ELI: </w:t>
      </w:r>
      <w:r>
        <w:fldChar w:fldCharType="begin"/>
      </w:r>
      <w:r w:rsidRPr="0065413C">
        <w:rPr>
          <w:lang w:val="fi-FI"/>
        </w:rPr>
        <w:instrText>HYPERLINK "http://data.europa.eu/eli/reg/2024/765/oj"</w:instrText>
      </w:r>
      <w:r>
        <w:fldChar w:fldCharType="separate"/>
      </w:r>
      <w:r w:rsidRPr="008E5553">
        <w:rPr>
          <w:rStyle w:val="Hyperlink"/>
          <w:sz w:val="24"/>
          <w:shd w:val="clear" w:color="auto" w:fill="FFFFFF"/>
          <w:lang w:val="cs-CZ"/>
        </w:rPr>
        <w:t>http://data.europa.eu/eli/reg/2024/765/oj</w:t>
      </w:r>
      <w:r>
        <w:fldChar w:fldCharType="end"/>
      </w:r>
      <w:r w:rsidRPr="008E5553">
        <w:rPr>
          <w:i/>
          <w:color w:val="333333"/>
          <w:sz w:val="24"/>
          <w:shd w:val="clear" w:color="auto" w:fill="FFFFFF"/>
          <w:lang w:val="cs-CZ"/>
        </w:rPr>
        <w:t>).</w:t>
      </w:r>
    </w:p>
  </w:footnote>
  <w:footnote w:id="4">
    <w:p w14:paraId="75C8CDD7" w14:textId="52BD3E6F" w:rsidR="00F91C53" w:rsidRPr="008E5553" w:rsidRDefault="00F91C53" w:rsidP="008E5553">
      <w:pPr>
        <w:pStyle w:val="FootnoteText"/>
        <w:ind w:left="567" w:hanging="567"/>
        <w:rPr>
          <w:sz w:val="24"/>
          <w:lang w:val="cs-CZ"/>
        </w:rPr>
      </w:pPr>
      <w:r w:rsidRPr="008E5553">
        <w:rPr>
          <w:rStyle w:val="FootnoteReference"/>
          <w:sz w:val="24"/>
          <w:lang w:val="cs-CZ"/>
        </w:rPr>
        <w:footnoteRef/>
      </w:r>
      <w:r w:rsidR="008E5553" w:rsidRPr="008E5553">
        <w:rPr>
          <w:sz w:val="24"/>
          <w:lang w:val="cs-CZ"/>
        </w:rPr>
        <w:t xml:space="preserve"> </w:t>
      </w:r>
      <w:r w:rsidR="008E5553" w:rsidRPr="008E5553">
        <w:rPr>
          <w:sz w:val="24"/>
          <w:lang w:val="cs-CZ"/>
        </w:rPr>
        <w:tab/>
      </w:r>
      <w:proofErr w:type="spellStart"/>
      <w:r w:rsidRPr="008E5553">
        <w:rPr>
          <w:sz w:val="24"/>
          <w:lang w:val="cs-CZ"/>
        </w:rPr>
        <w:t>Úř</w:t>
      </w:r>
      <w:proofErr w:type="spellEnd"/>
      <w:r w:rsidRPr="008E5553">
        <w:rPr>
          <w:sz w:val="24"/>
          <w:lang w:val="cs-CZ"/>
        </w:rPr>
        <w:t xml:space="preserve">. </w:t>
      </w:r>
      <w:proofErr w:type="spellStart"/>
      <w:r w:rsidRPr="008E5553">
        <w:rPr>
          <w:sz w:val="24"/>
          <w:lang w:val="cs-CZ"/>
        </w:rPr>
        <w:t>věst</w:t>
      </w:r>
      <w:proofErr w:type="spellEnd"/>
      <w:r w:rsidRPr="008E5553">
        <w:rPr>
          <w:sz w:val="24"/>
          <w:lang w:val="cs-CZ"/>
        </w:rPr>
        <w:t xml:space="preserve">. L 433 I, 22.12.2020, s. 28, ELI: </w:t>
      </w:r>
      <w:r>
        <w:fldChar w:fldCharType="begin"/>
      </w:r>
      <w:r w:rsidRPr="0065413C">
        <w:rPr>
          <w:lang w:val="fi-FI"/>
        </w:rPr>
        <w:instrText>HYPERLINK "http://data.europa.eu/eli/agree_interinstit/2020/1222/oj"</w:instrText>
      </w:r>
      <w:r>
        <w:fldChar w:fldCharType="separate"/>
      </w:r>
      <w:r w:rsidRPr="008E5553">
        <w:rPr>
          <w:rStyle w:val="Hyperlink"/>
          <w:sz w:val="24"/>
          <w:lang w:val="cs-CZ"/>
        </w:rPr>
        <w:t>http://data.europa.eu/eli/agree_interinstit/2020/1222/oj</w:t>
      </w:r>
      <w:r>
        <w:fldChar w:fldCharType="end"/>
      </w:r>
      <w:r w:rsidRPr="008E5553">
        <w:rPr>
          <w:sz w:val="24"/>
          <w:lang w:val="cs-CZ"/>
        </w:rPr>
        <w:t>.</w:t>
      </w:r>
    </w:p>
  </w:footnote>
  <w:footnote w:id="5">
    <w:p w14:paraId="338DB0DC" w14:textId="46FF7ABD" w:rsidR="00F91C53" w:rsidRPr="008E5553" w:rsidRDefault="00F91C53" w:rsidP="008E5553">
      <w:pPr>
        <w:pStyle w:val="FootnoteText"/>
        <w:ind w:left="567" w:hanging="567"/>
        <w:rPr>
          <w:sz w:val="24"/>
          <w:lang w:val="cs-CZ"/>
        </w:rPr>
      </w:pPr>
      <w:r w:rsidRPr="008E5553">
        <w:rPr>
          <w:rStyle w:val="FootnoteReference"/>
          <w:sz w:val="24"/>
          <w:lang w:val="cs-CZ"/>
        </w:rPr>
        <w:footnoteRef/>
      </w:r>
      <w:r w:rsidR="008E5553" w:rsidRPr="008E5553">
        <w:rPr>
          <w:sz w:val="24"/>
          <w:lang w:val="cs-CZ"/>
        </w:rPr>
        <w:t xml:space="preserve"> </w:t>
      </w:r>
      <w:r w:rsidR="008E5553" w:rsidRPr="008E5553">
        <w:rPr>
          <w:sz w:val="24"/>
          <w:lang w:val="cs-CZ"/>
        </w:rPr>
        <w:tab/>
      </w:r>
      <w:r w:rsidRPr="008E5553">
        <w:rPr>
          <w:sz w:val="24"/>
          <w:lang w:val="cs-CZ"/>
        </w:rPr>
        <w:t>Ve smyslu článku 3 nařízení o EFG.</w:t>
      </w:r>
    </w:p>
  </w:footnote>
  <w:footnote w:id="6">
    <w:p w14:paraId="5DC6B638" w14:textId="74CD629F" w:rsidR="00F91C53" w:rsidRPr="008E5553" w:rsidRDefault="00F91C53" w:rsidP="008E5553">
      <w:pPr>
        <w:pStyle w:val="FootnoteText"/>
        <w:ind w:left="567" w:hanging="567"/>
        <w:rPr>
          <w:sz w:val="24"/>
          <w:lang w:val="cs-CZ"/>
        </w:rPr>
      </w:pPr>
      <w:r w:rsidRPr="008E5553">
        <w:rPr>
          <w:rStyle w:val="FootnoteReference"/>
          <w:sz w:val="24"/>
          <w:lang w:val="cs-CZ"/>
        </w:rPr>
        <w:footnoteRef/>
      </w:r>
      <w:r w:rsidR="008E5553" w:rsidRPr="008E5553">
        <w:rPr>
          <w:sz w:val="24"/>
          <w:lang w:val="cs-CZ"/>
        </w:rPr>
        <w:t xml:space="preserve"> </w:t>
      </w:r>
      <w:r w:rsidR="008E5553" w:rsidRPr="008E5553">
        <w:rPr>
          <w:sz w:val="24"/>
          <w:lang w:val="cs-CZ"/>
        </w:rPr>
        <w:tab/>
      </w:r>
      <w:r w:rsidRPr="008E5553">
        <w:rPr>
          <w:sz w:val="24"/>
          <w:lang w:val="cs-CZ"/>
        </w:rPr>
        <w:t>Článek 8 nařízení o VFR.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29E54" w14:textId="77777777" w:rsidR="00064002" w:rsidRPr="008E55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3D47F" w14:textId="77777777" w:rsidR="00064002" w:rsidRPr="008E55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FA27F" w14:textId="77777777" w:rsidR="00064002" w:rsidRPr="008E55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5763047">
    <w:abstractNumId w:val="9"/>
  </w:num>
  <w:num w:numId="2" w16cid:durableId="1374310386">
    <w:abstractNumId w:val="9"/>
  </w:num>
  <w:num w:numId="3" w16cid:durableId="1768227732">
    <w:abstractNumId w:val="7"/>
  </w:num>
  <w:num w:numId="4" w16cid:durableId="805507494">
    <w:abstractNumId w:val="7"/>
  </w:num>
  <w:num w:numId="5" w16cid:durableId="1589926248">
    <w:abstractNumId w:val="6"/>
  </w:num>
  <w:num w:numId="6" w16cid:durableId="322860787">
    <w:abstractNumId w:val="6"/>
  </w:num>
  <w:num w:numId="7" w16cid:durableId="1834712073">
    <w:abstractNumId w:val="5"/>
  </w:num>
  <w:num w:numId="8" w16cid:durableId="1589120430">
    <w:abstractNumId w:val="5"/>
  </w:num>
  <w:num w:numId="9" w16cid:durableId="459567555">
    <w:abstractNumId w:val="4"/>
  </w:num>
  <w:num w:numId="10" w16cid:durableId="1857690076">
    <w:abstractNumId w:val="4"/>
  </w:num>
  <w:num w:numId="11" w16cid:durableId="691537631">
    <w:abstractNumId w:val="8"/>
  </w:num>
  <w:num w:numId="12" w16cid:durableId="273363908">
    <w:abstractNumId w:val="8"/>
  </w:num>
  <w:num w:numId="13" w16cid:durableId="1385063778">
    <w:abstractNumId w:val="3"/>
  </w:num>
  <w:num w:numId="14" w16cid:durableId="212473601">
    <w:abstractNumId w:val="3"/>
  </w:num>
  <w:num w:numId="15" w16cid:durableId="1844204503">
    <w:abstractNumId w:val="2"/>
  </w:num>
  <w:num w:numId="16" w16cid:durableId="1341925779">
    <w:abstractNumId w:val="2"/>
  </w:num>
  <w:num w:numId="17" w16cid:durableId="1322392743">
    <w:abstractNumId w:val="1"/>
  </w:num>
  <w:num w:numId="18" w16cid:durableId="1437477337">
    <w:abstractNumId w:val="1"/>
  </w:num>
  <w:num w:numId="19" w16cid:durableId="1250559">
    <w:abstractNumId w:val="0"/>
  </w:num>
  <w:num w:numId="20" w16cid:durableId="864100197">
    <w:abstractNumId w:val="0"/>
  </w:num>
  <w:num w:numId="21" w16cid:durableId="117795021">
    <w:abstractNumId w:val="9"/>
  </w:num>
  <w:num w:numId="22" w16cid:durableId="2094930399">
    <w:abstractNumId w:val="7"/>
  </w:num>
  <w:num w:numId="23" w16cid:durableId="822812786">
    <w:abstractNumId w:val="6"/>
  </w:num>
  <w:num w:numId="24" w16cid:durableId="1563715016">
    <w:abstractNumId w:val="5"/>
  </w:num>
  <w:num w:numId="25" w16cid:durableId="2117292295">
    <w:abstractNumId w:val="4"/>
  </w:num>
  <w:num w:numId="26" w16cid:durableId="2058967499">
    <w:abstractNumId w:val="8"/>
  </w:num>
  <w:num w:numId="27" w16cid:durableId="262960493">
    <w:abstractNumId w:val="3"/>
  </w:num>
  <w:num w:numId="28" w16cid:durableId="299893976">
    <w:abstractNumId w:val="2"/>
  </w:num>
  <w:num w:numId="29" w16cid:durableId="1314986329">
    <w:abstractNumId w:val="1"/>
  </w:num>
  <w:num w:numId="30" w16cid:durableId="1811940222">
    <w:abstractNumId w:val="0"/>
  </w:num>
  <w:num w:numId="31" w16cid:durableId="842207109">
    <w:abstractNumId w:val="9"/>
  </w:num>
  <w:num w:numId="32" w16cid:durableId="1312053069">
    <w:abstractNumId w:val="7"/>
  </w:num>
  <w:num w:numId="33" w16cid:durableId="656030219">
    <w:abstractNumId w:val="6"/>
  </w:num>
  <w:num w:numId="34" w16cid:durableId="418252389">
    <w:abstractNumId w:val="5"/>
  </w:num>
  <w:num w:numId="35" w16cid:durableId="1894073773">
    <w:abstractNumId w:val="4"/>
  </w:num>
  <w:num w:numId="36" w16cid:durableId="1675448354">
    <w:abstractNumId w:val="8"/>
  </w:num>
  <w:num w:numId="37" w16cid:durableId="1980760914">
    <w:abstractNumId w:val="3"/>
  </w:num>
  <w:num w:numId="38" w16cid:durableId="1448086676">
    <w:abstractNumId w:val="2"/>
  </w:num>
  <w:num w:numId="39" w16cid:durableId="1524904322">
    <w:abstractNumId w:val="1"/>
  </w:num>
  <w:num w:numId="40" w16cid:durableId="953367703">
    <w:abstractNumId w:val="0"/>
  </w:num>
  <w:num w:numId="41" w16cid:durableId="1836997816">
    <w:abstractNumId w:val="10"/>
  </w:num>
  <w:num w:numId="42" w16cid:durableId="162821455">
    <w:abstractNumId w:val="10"/>
  </w:num>
  <w:num w:numId="43" w16cid:durableId="1440875512">
    <w:abstractNumId w:val="10"/>
  </w:num>
  <w:num w:numId="44" w16cid:durableId="4265372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6"/>
    <w:docVar w:name="dvlangue" w:val="CS"/>
    <w:docVar w:name="dvnumam" w:val="0"/>
    <w:docVar w:name="dvpe" w:val="784.477"/>
    <w:docVar w:name="dvrapporteur" w:val="Zpravodaj: "/>
    <w:docVar w:name="dvtitre" w:val="Usnesení Evropského parlamentu ze dne.... 2026 o návrhu rozhodnutí Evropského parlamentu a Rady o uvolnění prostředků z Evropského fondu pro přizpůsobení se globalizaci na pomoc propuštěným pracovníkům na základě žádosti Belgie – EGF/2025/007 BE/Casa(COM(2026)0003 – C10-0025/2026 – 2026/0038(BUD))"/>
  </w:docVars>
  <w:rsids>
    <w:rsidRoot w:val="00AE21B8"/>
    <w:rsid w:val="00002272"/>
    <w:rsid w:val="00064002"/>
    <w:rsid w:val="000677B9"/>
    <w:rsid w:val="000831BA"/>
    <w:rsid w:val="0008779A"/>
    <w:rsid w:val="000A42CC"/>
    <w:rsid w:val="000E7DD9"/>
    <w:rsid w:val="0010095E"/>
    <w:rsid w:val="00125B37"/>
    <w:rsid w:val="001548AF"/>
    <w:rsid w:val="00187494"/>
    <w:rsid w:val="001F32AE"/>
    <w:rsid w:val="002767FF"/>
    <w:rsid w:val="002B18FE"/>
    <w:rsid w:val="002B5493"/>
    <w:rsid w:val="002E406E"/>
    <w:rsid w:val="00343214"/>
    <w:rsid w:val="00361C00"/>
    <w:rsid w:val="00395FA1"/>
    <w:rsid w:val="003B10D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413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553"/>
    <w:rsid w:val="0092263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1FC9"/>
    <w:rsid w:val="00AB441E"/>
    <w:rsid w:val="00AB6293"/>
    <w:rsid w:val="00AE0928"/>
    <w:rsid w:val="00AE21B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03E"/>
    <w:rsid w:val="00D058B8"/>
    <w:rsid w:val="00D56C11"/>
    <w:rsid w:val="00D766D1"/>
    <w:rsid w:val="00D773B3"/>
    <w:rsid w:val="00D834A0"/>
    <w:rsid w:val="00D872DF"/>
    <w:rsid w:val="00D91E21"/>
    <w:rsid w:val="00DA7FCD"/>
    <w:rsid w:val="00DE7D51"/>
    <w:rsid w:val="00E365E1"/>
    <w:rsid w:val="00E37E0F"/>
    <w:rsid w:val="00E820A4"/>
    <w:rsid w:val="00EB006A"/>
    <w:rsid w:val="00EB4772"/>
    <w:rsid w:val="00ED169E"/>
    <w:rsid w:val="00ED4235"/>
    <w:rsid w:val="00F04346"/>
    <w:rsid w:val="00F075DC"/>
    <w:rsid w:val="00F149E9"/>
    <w:rsid w:val="00F23D99"/>
    <w:rsid w:val="00F5134D"/>
    <w:rsid w:val="00F74202"/>
    <w:rsid w:val="00F87713"/>
    <w:rsid w:val="00F91C5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6F902A"/>
  <w15:chartTrackingRefBased/>
  <w15:docId w15:val="{45261BD2-7FA6-4B1E-8042-904E0BD50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link w:val="PageHeadingChar"/>
    <w:rsid w:val="00F91C5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F91C53"/>
    <w:pPr>
      <w:spacing w:after="240"/>
      <w:ind w:left="567" w:hanging="567"/>
    </w:pPr>
  </w:style>
  <w:style w:type="paragraph" w:customStyle="1" w:styleId="EPComma">
    <w:name w:val="EPComma"/>
    <w:basedOn w:val="Normal"/>
    <w:rsid w:val="00F91C53"/>
    <w:pPr>
      <w:spacing w:before="480" w:after="240"/>
    </w:pPr>
  </w:style>
  <w:style w:type="character" w:styleId="Hyperlink">
    <w:name w:val="Hyperlink"/>
    <w:basedOn w:val="DefaultParagraphFont"/>
    <w:uiPriority w:val="99"/>
    <w:rsid w:val="00F91C5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F91C53"/>
    <w:rPr>
      <w:sz w:val="24"/>
      <w:lang w:val="cs-CZ"/>
    </w:rPr>
  </w:style>
  <w:style w:type="character" w:customStyle="1" w:styleId="PageHeadingChar">
    <w:name w:val="PageHeading Char"/>
    <w:basedOn w:val="DefaultParagraphFont"/>
    <w:link w:val="PageHeading"/>
    <w:locked/>
    <w:rsid w:val="00F91C53"/>
    <w:rPr>
      <w:rFonts w:ascii="Arial" w:hAnsi="Arial" w:cs="Arial"/>
      <w:b/>
      <w:sz w:val="24"/>
      <w:lang w:val="cs-CZ"/>
    </w:rPr>
  </w:style>
  <w:style w:type="paragraph" w:customStyle="1" w:styleId="Titreobjet">
    <w:name w:val="Titre objet"/>
    <w:basedOn w:val="Normal"/>
    <w:next w:val="Normal"/>
    <w:rsid w:val="00F91C5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91C5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91C5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91C5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91C5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91C5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91C5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91C5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Revision">
    <w:name w:val="Revision"/>
    <w:hidden/>
    <w:uiPriority w:val="99"/>
    <w:semiHidden/>
    <w:rsid w:val="0092263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1600</Words>
  <Characters>9701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2026-05-12T09:43:00Z</dcterms:created>
  <dcterms:modified xsi:type="dcterms:W3CDTF">2026-05-12T09:43:00Z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P10_TA(2026)0102_</vt:lpwstr>
  </property>
  <property fmtid="{D5CDD505-2E9C-101B-9397-08002B2CF9AE}" pid="4" name="&lt;Type&gt;">
    <vt:lpwstr>RR</vt:lpwstr>
  </property>
</Properties>
</file>