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1ACE" w14:paraId="4054B3A6" w14:textId="77777777" w:rsidTr="0010095E">
        <w:trPr>
          <w:trHeight w:hRule="exact" w:val="1418"/>
        </w:trPr>
        <w:tc>
          <w:tcPr>
            <w:tcW w:w="6804" w:type="dxa"/>
            <w:shd w:val="clear" w:color="auto" w:fill="auto"/>
            <w:vAlign w:val="center"/>
          </w:tcPr>
          <w:p w14:paraId="7884E025" w14:textId="77777777" w:rsidR="00751A4A" w:rsidRPr="00B71ACE" w:rsidRDefault="00602EFE" w:rsidP="0010095E">
            <w:pPr>
              <w:pStyle w:val="EPName"/>
            </w:pPr>
            <w:r w:rsidRPr="00B71ACE">
              <w:t>Europa-Parlamentet</w:t>
            </w:r>
          </w:p>
          <w:p w14:paraId="1C97E3C7" w14:textId="77777777" w:rsidR="00751A4A" w:rsidRPr="00B71ACE" w:rsidRDefault="005F1B17" w:rsidP="005F1B17">
            <w:pPr>
              <w:pStyle w:val="EPTerm"/>
              <w:rPr>
                <w:rStyle w:val="HideTWBExt"/>
                <w:noProof w:val="0"/>
                <w:vanish w:val="0"/>
                <w:color w:val="auto"/>
              </w:rPr>
            </w:pPr>
            <w:r w:rsidRPr="00B71ACE">
              <w:t>2024</w:t>
            </w:r>
            <w:r w:rsidR="00817416" w:rsidRPr="00B71ACE">
              <w:t>-202</w:t>
            </w:r>
            <w:r w:rsidRPr="00B71ACE">
              <w:t>9</w:t>
            </w:r>
          </w:p>
        </w:tc>
        <w:tc>
          <w:tcPr>
            <w:tcW w:w="2268" w:type="dxa"/>
            <w:shd w:val="clear" w:color="auto" w:fill="auto"/>
          </w:tcPr>
          <w:p w14:paraId="0A0A1859" w14:textId="77777777" w:rsidR="00751A4A" w:rsidRPr="00B71ACE" w:rsidRDefault="00187494" w:rsidP="0010095E">
            <w:pPr>
              <w:pStyle w:val="EPLogo"/>
            </w:pPr>
            <w:r w:rsidRPr="00B71ACE">
              <w:rPr>
                <w:noProof/>
                <w:lang w:eastAsia="ja-JP"/>
              </w:rPr>
              <w:drawing>
                <wp:inline distT="0" distB="0" distL="0" distR="0" wp14:anchorId="22C2046A" wp14:editId="08300E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7CAC51" w14:textId="77777777" w:rsidR="00D058B8" w:rsidRPr="00B71ACE" w:rsidRDefault="00D058B8" w:rsidP="004C5D52">
      <w:pPr>
        <w:pStyle w:val="LineTop"/>
      </w:pPr>
    </w:p>
    <w:p w14:paraId="25EB5E11" w14:textId="77777777" w:rsidR="00680577" w:rsidRPr="00B71ACE" w:rsidRDefault="00602EFE" w:rsidP="00680577">
      <w:pPr>
        <w:pStyle w:val="EPBodyTA1"/>
      </w:pPr>
      <w:r w:rsidRPr="00B71ACE">
        <w:t>VEDTAGNE TEKSTER</w:t>
      </w:r>
    </w:p>
    <w:p w14:paraId="51848652" w14:textId="77777777" w:rsidR="00D058B8" w:rsidRPr="00B71ACE" w:rsidRDefault="00D058B8" w:rsidP="00D058B8">
      <w:pPr>
        <w:pStyle w:val="LineBottom"/>
      </w:pPr>
    </w:p>
    <w:p w14:paraId="6421D0F4" w14:textId="030D1377" w:rsidR="00602EFE" w:rsidRPr="00B71ACE" w:rsidRDefault="00602EFE" w:rsidP="00602EFE">
      <w:pPr>
        <w:pStyle w:val="ATHeading1"/>
      </w:pPr>
      <w:bookmarkStart w:id="0" w:name="TANumber"/>
      <w:r w:rsidRPr="00B71ACE">
        <w:t>P10_</w:t>
      </w:r>
      <w:proofErr w:type="gramStart"/>
      <w:r w:rsidRPr="00B71ACE">
        <w:t>TA(</w:t>
      </w:r>
      <w:proofErr w:type="gramEnd"/>
      <w:r w:rsidRPr="00B71ACE">
        <w:t>2026)0</w:t>
      </w:r>
      <w:bookmarkEnd w:id="0"/>
      <w:r w:rsidR="00D47CD1">
        <w:t>102</w:t>
      </w:r>
    </w:p>
    <w:p w14:paraId="005A0054" w14:textId="25CCD3DA" w:rsidR="00602EFE" w:rsidRPr="00AB0901" w:rsidRDefault="00AB0901" w:rsidP="00AB0901">
      <w:pPr>
        <w:pStyle w:val="ATHeading2"/>
      </w:pPr>
      <w:r w:rsidRPr="00A240F7">
        <w:rPr>
          <w:bCs/>
        </w:rPr>
        <w:t>Mobilisering af Den Europæiske Fond for Tilpasning til Globaliseringen for Afskedigede</w:t>
      </w:r>
      <w:r>
        <w:rPr>
          <w:bCs/>
        </w:rPr>
        <w:t xml:space="preserve"> </w:t>
      </w:r>
      <w:r w:rsidRPr="00A240F7">
        <w:rPr>
          <w:bCs/>
        </w:rPr>
        <w:t>Arbejdstagere: ansøgning EGF/2025/007 BE/Casa - Belgien</w:t>
      </w:r>
    </w:p>
    <w:p w14:paraId="17CB4845" w14:textId="77777777" w:rsidR="00602EFE" w:rsidRPr="00B71ACE" w:rsidRDefault="00602EFE" w:rsidP="00602EFE">
      <w:pPr>
        <w:rPr>
          <w:i/>
          <w:vanish/>
        </w:rPr>
      </w:pPr>
      <w:r w:rsidRPr="00B71ACE">
        <w:rPr>
          <w:i/>
        </w:rPr>
        <w:fldChar w:fldCharType="begin"/>
      </w:r>
      <w:r w:rsidRPr="00B71ACE">
        <w:rPr>
          <w:i/>
        </w:rPr>
        <w:instrText xml:space="preserve"> TC"(</w:instrText>
      </w:r>
      <w:bookmarkStart w:id="1" w:name="DocNumber"/>
      <w:r w:rsidRPr="00B71ACE">
        <w:rPr>
          <w:i/>
        </w:rPr>
        <w:instrText>A10-0061/2026</w:instrText>
      </w:r>
      <w:bookmarkEnd w:id="1"/>
      <w:r w:rsidRPr="00B71ACE">
        <w:rPr>
          <w:i/>
        </w:rPr>
        <w:instrText xml:space="preserve"> - Ordfører: </w:instrText>
      </w:r>
      <w:proofErr w:type="spellStart"/>
      <w:r w:rsidRPr="00B71ACE">
        <w:rPr>
          <w:i/>
        </w:rPr>
        <w:instrText>Hélder</w:instrText>
      </w:r>
      <w:proofErr w:type="spellEnd"/>
      <w:r w:rsidRPr="00B71ACE">
        <w:rPr>
          <w:i/>
        </w:rPr>
        <w:instrText xml:space="preserve"> </w:instrText>
      </w:r>
      <w:proofErr w:type="spellStart"/>
      <w:r w:rsidRPr="00B71ACE">
        <w:rPr>
          <w:i/>
        </w:rPr>
        <w:instrText>Sousa</w:instrText>
      </w:r>
      <w:proofErr w:type="spellEnd"/>
      <w:r w:rsidRPr="00B71ACE">
        <w:rPr>
          <w:i/>
        </w:rPr>
        <w:instrText xml:space="preserve"> Silva)"\l3 \n&gt; \* MERGEFORMAT </w:instrText>
      </w:r>
      <w:r w:rsidRPr="00B71ACE">
        <w:rPr>
          <w:i/>
        </w:rPr>
        <w:fldChar w:fldCharType="end"/>
      </w:r>
    </w:p>
    <w:p w14:paraId="6CA049EB" w14:textId="77777777" w:rsidR="00602EFE" w:rsidRPr="00B71ACE" w:rsidRDefault="00602EFE" w:rsidP="00602EFE">
      <w:pPr>
        <w:rPr>
          <w:vanish/>
        </w:rPr>
      </w:pPr>
      <w:bookmarkStart w:id="2" w:name="Commission"/>
      <w:r w:rsidRPr="00B71ACE">
        <w:rPr>
          <w:vanish/>
        </w:rPr>
        <w:t>Budgetudvalget</w:t>
      </w:r>
      <w:bookmarkEnd w:id="2"/>
    </w:p>
    <w:p w14:paraId="5C40B62F" w14:textId="77777777" w:rsidR="00602EFE" w:rsidRPr="00B71ACE" w:rsidRDefault="00602EFE" w:rsidP="00602EFE">
      <w:pPr>
        <w:rPr>
          <w:vanish/>
        </w:rPr>
      </w:pPr>
      <w:bookmarkStart w:id="3" w:name="PE"/>
      <w:r w:rsidRPr="00B71ACE">
        <w:rPr>
          <w:vanish/>
        </w:rPr>
        <w:t>PE784.477</w:t>
      </w:r>
      <w:bookmarkEnd w:id="3"/>
    </w:p>
    <w:p w14:paraId="399A1832" w14:textId="77487950" w:rsidR="00602EFE" w:rsidRPr="00B71ACE" w:rsidRDefault="00602EFE" w:rsidP="00602EFE">
      <w:pPr>
        <w:pStyle w:val="ATHeading3"/>
      </w:pPr>
      <w:bookmarkStart w:id="4" w:name="Sujet"/>
      <w:r w:rsidRPr="00B71ACE">
        <w:t xml:space="preserve">Europa-Parlamentets beslutning af </w:t>
      </w:r>
      <w:r w:rsidR="00C3043B">
        <w:t>26. marts</w:t>
      </w:r>
      <w:r w:rsidRPr="00B71ACE">
        <w:t xml:space="preserve"> 2026 om forslag til Europa-Parlamentets og Rådets afgørelse om mobilisering af Den Europæiske Fond for Tilpasning til Globaliseringen for Afskedigede Arbejdstagere på baggrund af en ansøgning fra Belgien (EGF/2025/007 BE/Casa)</w:t>
      </w:r>
      <w:bookmarkEnd w:id="4"/>
      <w:r w:rsidRPr="00B71ACE">
        <w:t xml:space="preserve"> </w:t>
      </w:r>
      <w:bookmarkStart w:id="5" w:name="References"/>
      <w:r w:rsidRPr="00B71ACE">
        <w:t>(</w:t>
      </w:r>
      <w:proofErr w:type="gramStart"/>
      <w:r w:rsidRPr="00B71ACE">
        <w:t>COM(</w:t>
      </w:r>
      <w:proofErr w:type="gramEnd"/>
      <w:r w:rsidRPr="00B71ACE">
        <w:t>2026)0003 – C10-0025/2026 – 2026/0038(BUD))</w:t>
      </w:r>
      <w:bookmarkEnd w:id="5"/>
    </w:p>
    <w:p w14:paraId="1CD99BFF" w14:textId="77777777" w:rsidR="00D06DD9" w:rsidRPr="00B71ACE" w:rsidRDefault="00D06DD9" w:rsidP="00D06DD9">
      <w:pPr>
        <w:pStyle w:val="EPComma"/>
      </w:pPr>
      <w:r w:rsidRPr="00B71ACE">
        <w:rPr>
          <w:i/>
        </w:rPr>
        <w:t>Europa-Parlamentet</w:t>
      </w:r>
      <w:r w:rsidRPr="00B71ACE">
        <w:t>,</w:t>
      </w:r>
    </w:p>
    <w:p w14:paraId="634243C0" w14:textId="77777777" w:rsidR="00D06DD9" w:rsidRPr="00B71ACE" w:rsidRDefault="00D06DD9" w:rsidP="00D06DD9">
      <w:pPr>
        <w:pStyle w:val="NormalHanging12a"/>
      </w:pPr>
      <w:r w:rsidRPr="00B71ACE">
        <w:t>–</w:t>
      </w:r>
      <w:r w:rsidRPr="00B71ACE">
        <w:tab/>
        <w:t>der henviser til Kommissionens forslag til Europa-Parlamentet og Rådet (</w:t>
      </w:r>
      <w:proofErr w:type="gramStart"/>
      <w:r w:rsidRPr="00B71ACE">
        <w:t>COM(</w:t>
      </w:r>
      <w:proofErr w:type="gramEnd"/>
      <w:r w:rsidRPr="00B71ACE">
        <w:t>2026)0003 – C10-0025/2026),</w:t>
      </w:r>
    </w:p>
    <w:p w14:paraId="002E0CD9" w14:textId="77777777" w:rsidR="00D06DD9" w:rsidRPr="00B71ACE" w:rsidRDefault="00D06DD9" w:rsidP="00D06DD9">
      <w:pPr>
        <w:pStyle w:val="NormalHanging12a"/>
      </w:pPr>
      <w:r w:rsidRPr="00B71ACE">
        <w:t>–</w:t>
      </w:r>
      <w:r w:rsidRPr="00B71ACE">
        <w:tab/>
        <w:t>der henviser til Europa-Parlamentets og Rådets forordning (EU) 2021/691 af 28. april 2021 om Den Europæiske Fond for Tilpasning til Globaliseringen for Afskedigede Arbejdstagere (EGF) og om ophævelse af forordning (EU) nr. 1309/2013</w:t>
      </w:r>
      <w:r w:rsidRPr="00B71ACE">
        <w:rPr>
          <w:vertAlign w:val="superscript"/>
        </w:rPr>
        <w:footnoteReference w:id="1"/>
      </w:r>
      <w:r w:rsidRPr="00B71ACE">
        <w:t xml:space="preserve"> ("EGF-forordningen"), </w:t>
      </w:r>
    </w:p>
    <w:p w14:paraId="01AF8A1F" w14:textId="77777777" w:rsidR="00D06DD9" w:rsidRPr="00B71ACE" w:rsidRDefault="00D06DD9" w:rsidP="00D06DD9">
      <w:pPr>
        <w:pStyle w:val="NormalHanging12a"/>
      </w:pPr>
      <w:r w:rsidRPr="00B71ACE">
        <w:t>–</w:t>
      </w:r>
      <w:r w:rsidRPr="00B71ACE">
        <w:tab/>
        <w:t xml:space="preserve">der henviser til Rådets forordning (EU, </w:t>
      </w:r>
      <w:proofErr w:type="spellStart"/>
      <w:r w:rsidRPr="00B71ACE">
        <w:t>Euratom</w:t>
      </w:r>
      <w:proofErr w:type="spellEnd"/>
      <w:r w:rsidRPr="00B71ACE">
        <w:t>) 2020/2093 af 17. december 2020 om fastlæggelse af den flerårige finansielle ramme for årene 2021-2027 (FFR-forordningen)</w:t>
      </w:r>
      <w:r w:rsidRPr="00B71ACE">
        <w:rPr>
          <w:vertAlign w:val="superscript"/>
        </w:rPr>
        <w:footnoteReference w:id="2"/>
      </w:r>
      <w:r w:rsidRPr="00B71ACE">
        <w:t xml:space="preserve"> som ændret ved forordning (EU, </w:t>
      </w:r>
      <w:proofErr w:type="spellStart"/>
      <w:r w:rsidRPr="00B71ACE">
        <w:t>Euratom</w:t>
      </w:r>
      <w:proofErr w:type="spellEnd"/>
      <w:r w:rsidRPr="00B71ACE">
        <w:t>) 2024/765</w:t>
      </w:r>
      <w:r w:rsidRPr="00B71ACE">
        <w:rPr>
          <w:vertAlign w:val="superscript"/>
        </w:rPr>
        <w:footnoteReference w:id="3"/>
      </w:r>
      <w:r w:rsidRPr="00B71ACE">
        <w:t xml:space="preserve">, særlig artikel 8, </w:t>
      </w:r>
    </w:p>
    <w:p w14:paraId="46527DF6" w14:textId="77777777" w:rsidR="00D06DD9" w:rsidRPr="00B71ACE" w:rsidRDefault="00D06DD9" w:rsidP="00D06DD9">
      <w:pPr>
        <w:pStyle w:val="NormalHanging12a"/>
      </w:pPr>
      <w:r w:rsidRPr="00B71ACE">
        <w:t>–</w:t>
      </w:r>
      <w:r w:rsidRPr="00B71ACE">
        <w:tab/>
        <w:t xml:space="preserve">der henviser til den </w:t>
      </w:r>
      <w:proofErr w:type="spellStart"/>
      <w:r w:rsidRPr="00B71ACE">
        <w:t>interinstitutionelle</w:t>
      </w:r>
      <w:proofErr w:type="spellEnd"/>
      <w:r w:rsidRPr="00B71ACE">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B71ACE">
        <w:lastRenderedPageBreak/>
        <w:t>nye egne indtægter</w:t>
      </w:r>
      <w:r w:rsidRPr="00B71ACE">
        <w:rPr>
          <w:rStyle w:val="FootnoteReference"/>
        </w:rPr>
        <w:footnoteReference w:id="4"/>
      </w:r>
      <w:r w:rsidRPr="00B71ACE">
        <w:t>, særlig punkt 9,</w:t>
      </w:r>
    </w:p>
    <w:p w14:paraId="65B71F25" w14:textId="77777777" w:rsidR="00D06DD9" w:rsidRPr="00B71ACE" w:rsidRDefault="00D06DD9" w:rsidP="00D06DD9">
      <w:pPr>
        <w:pStyle w:val="NormalHanging12a"/>
      </w:pPr>
      <w:r w:rsidRPr="00B71ACE">
        <w:t>–</w:t>
      </w:r>
      <w:r w:rsidRPr="00B71ACE">
        <w:tab/>
        <w:t>der henviser til den europæiske søjle for sociale rettigheder,</w:t>
      </w:r>
    </w:p>
    <w:p w14:paraId="3D32B1B9" w14:textId="77777777" w:rsidR="00D06DD9" w:rsidRPr="00B71ACE" w:rsidRDefault="00D06DD9" w:rsidP="00D06DD9">
      <w:pPr>
        <w:pStyle w:val="NormalHanging12a"/>
      </w:pPr>
      <w:r w:rsidRPr="00B71ACE">
        <w:t>–</w:t>
      </w:r>
      <w:r w:rsidRPr="00B71ACE">
        <w:tab/>
        <w:t>der henviser til skrivelse fra Udvalget om Beskæftigelse og Sociale Anliggender,</w:t>
      </w:r>
    </w:p>
    <w:p w14:paraId="5CD8D388" w14:textId="77777777" w:rsidR="00D06DD9" w:rsidRPr="00B71ACE" w:rsidRDefault="00D06DD9" w:rsidP="00D06DD9">
      <w:pPr>
        <w:pStyle w:val="NormalHanging12a"/>
      </w:pPr>
      <w:r w:rsidRPr="00B71ACE">
        <w:t>–</w:t>
      </w:r>
      <w:r w:rsidRPr="00B71ACE">
        <w:tab/>
        <w:t>der henviser til betænkning fra Budgetudvalget (A10-0061/2026),</w:t>
      </w:r>
    </w:p>
    <w:p w14:paraId="0537F3A2" w14:textId="77777777" w:rsidR="00D06DD9" w:rsidRPr="00B71ACE" w:rsidRDefault="00D06DD9" w:rsidP="00D06DD9">
      <w:pPr>
        <w:pStyle w:val="NormalHanging12a"/>
      </w:pPr>
      <w:r w:rsidRPr="00B71ACE">
        <w:t>A.</w:t>
      </w:r>
      <w:r w:rsidRPr="00B71ACE">
        <w:tab/>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w:t>
      </w:r>
    </w:p>
    <w:p w14:paraId="4E8A3E8E" w14:textId="77777777" w:rsidR="00D06DD9" w:rsidRPr="00B71ACE" w:rsidRDefault="00D06DD9" w:rsidP="00D06DD9">
      <w:pPr>
        <w:pStyle w:val="NormalHanging12a"/>
      </w:pPr>
      <w:r w:rsidRPr="00B71ACE">
        <w:t>B.</w:t>
      </w:r>
      <w:r w:rsidRPr="00B71ACE">
        <w:tab/>
        <w:t>der henviser til, at Belgien indgav ansøgning EGF/2025/007 BE/Casa om økonomisk støtte fra EGF efter 416 afskedigelser</w:t>
      </w:r>
      <w:r w:rsidRPr="00B71ACE">
        <w:rPr>
          <w:vertAlign w:val="superscript"/>
        </w:rPr>
        <w:footnoteReference w:id="5"/>
      </w:r>
      <w:r w:rsidRPr="00B71ACE">
        <w:t xml:space="preserve"> i Casa International NV (Casa) i Belgien i de økonomiske sektorer, der er klassificeret under NACE rev. 2, hovedgruppe 47 (Detailhandel undtagen med motorkøretøjer og motorcykler) og hovedgruppe 52 (Oplagrings- og pakhusvirksomhed samt støttevirksomhed i forbindelse med transport) i regionen Antwerpen (BE21) i Flandern, inden for en referenceperiode fra den 6. marts 2025 til den 6. juli 2025; </w:t>
      </w:r>
    </w:p>
    <w:p w14:paraId="288EA9F9" w14:textId="77777777" w:rsidR="00D06DD9" w:rsidRPr="00B71ACE" w:rsidRDefault="00D06DD9" w:rsidP="00D06DD9">
      <w:pPr>
        <w:pStyle w:val="NormalHanging12a"/>
      </w:pPr>
      <w:r w:rsidRPr="00B71ACE">
        <w:t>C.</w:t>
      </w:r>
      <w:r w:rsidRPr="00B71ACE">
        <w:tab/>
        <w:t xml:space="preserve">der henviser til, at ansøgningen er baseret på interventionskriterierne i artikel 4, stk. 2, litra a), i EGF-forordningen; der henviser til, at 257 afskedigelser vedrører Casa International NV (detailhandel) med 65 detailforretninger i hele Belgien, og at 159 afskedigelser vedrører Casa </w:t>
      </w:r>
      <w:proofErr w:type="spellStart"/>
      <w:r w:rsidRPr="00B71ACE">
        <w:t>Logistics</w:t>
      </w:r>
      <w:proofErr w:type="spellEnd"/>
      <w:r w:rsidRPr="00B71ACE">
        <w:t xml:space="preserve"> NV (oplagrings- og pakhusvirksomhed) med ansvar for oplagring og distribution til disse forretninger; </w:t>
      </w:r>
    </w:p>
    <w:p w14:paraId="041B8DE0" w14:textId="77777777" w:rsidR="00D06DD9" w:rsidRPr="00B71ACE" w:rsidRDefault="00D06DD9" w:rsidP="00D06DD9">
      <w:pPr>
        <w:pStyle w:val="NormalHanging12a"/>
      </w:pPr>
      <w:r w:rsidRPr="00B71ACE">
        <w:t>D.</w:t>
      </w:r>
      <w:r w:rsidRPr="00B71ACE">
        <w:tab/>
        <w:t>der henviser til, at Casa indgav konkursbegæring den 6. marts 2025; der henviser til, at antallet af konkurser har været stigende i Belgien siden 2022, navnlig i detailsektoren, som gennemgår en gennemgribende strukturel omstilling som følge af stigningen i e-handel og ændrede forbrugervaner; der henviser til, at kvinder udgør 67,5 % af den arbejdsstyrke, der er berørt i dette tilfælde; understreger derfor, at støtteforanstaltningerne under EGF bør tage hensyn til de særlige behov og hindringer, som disse kvinder står over for, når de vender tilbage til arbejdsmarkedet;</w:t>
      </w:r>
    </w:p>
    <w:p w14:paraId="301E8ABD" w14:textId="77777777" w:rsidR="00D06DD9" w:rsidRPr="00B71ACE" w:rsidRDefault="00D06DD9" w:rsidP="00D06DD9">
      <w:pPr>
        <w:pStyle w:val="NormalHanging12a"/>
      </w:pPr>
      <w:r w:rsidRPr="00B71ACE">
        <w:t>E.</w:t>
      </w:r>
      <w:r w:rsidRPr="00B71ACE">
        <w:tab/>
        <w:t xml:space="preserve">der henviser til, at VDAB yder national </w:t>
      </w:r>
      <w:proofErr w:type="spellStart"/>
      <w:r w:rsidRPr="00B71ACE">
        <w:t>forfinansiering</w:t>
      </w:r>
      <w:proofErr w:type="spellEnd"/>
      <w:r w:rsidRPr="00B71ACE">
        <w:t xml:space="preserve"> og medfinansiering af foranstaltningerne;</w:t>
      </w:r>
    </w:p>
    <w:p w14:paraId="1EBD4FA0" w14:textId="77777777" w:rsidR="00D06DD9" w:rsidRPr="00B71ACE" w:rsidRDefault="00D06DD9" w:rsidP="00D06DD9">
      <w:pPr>
        <w:pStyle w:val="NormalHanging12a"/>
      </w:pPr>
      <w:r w:rsidRPr="00B71ACE">
        <w:t>F.</w:t>
      </w:r>
      <w:r w:rsidRPr="00B71ACE">
        <w:tab/>
        <w:t>der henviser til, at kravene i EU-lovgivningen og den nationale lovgivning vedrørende kollektiv afskedigelse er blevet opfyldt af de pågældende virksomheder;</w:t>
      </w:r>
    </w:p>
    <w:p w14:paraId="5FA4743B" w14:textId="77777777" w:rsidR="00D06DD9" w:rsidRPr="00B71ACE" w:rsidRDefault="00D06DD9" w:rsidP="00D06DD9">
      <w:pPr>
        <w:pStyle w:val="NormalHanging12a"/>
      </w:pPr>
      <w:r w:rsidRPr="00B71ACE">
        <w:t>G.</w:t>
      </w:r>
      <w:r w:rsidRPr="00B71ACE">
        <w:tab/>
        <w:t xml:space="preserve">der henviser til, at den økonomiske støtte fra EGF primært bør være rettet mod aktive arbejdsmarkedspolitiske foranstaltninger og individualiserede tilbud, som har til formål hurtigt at reintegrere støttemodtagerne på arbejdsmarkedet og samtidig tilbyde dem </w:t>
      </w:r>
      <w:r w:rsidRPr="00B71ACE">
        <w:lastRenderedPageBreak/>
        <w:t>uddannelse i færdigheder for at lette deres adgang til arbejdsmarkedet;</w:t>
      </w:r>
    </w:p>
    <w:p w14:paraId="430BE3BC" w14:textId="77777777" w:rsidR="00D06DD9" w:rsidRPr="00B71ACE" w:rsidRDefault="00D06DD9" w:rsidP="00D06DD9">
      <w:pPr>
        <w:pStyle w:val="NormalHanging12a"/>
      </w:pPr>
      <w:r w:rsidRPr="00B71ACE">
        <w:t>H.</w:t>
      </w:r>
      <w:r w:rsidRPr="00B71ACE">
        <w:tab/>
        <w:t>der henviser til, at EGF ikke må overstige et maksimalt årligt beløb på 30 mio. EUR (i 2018-priser)</w:t>
      </w:r>
      <w:r w:rsidRPr="00B71ACE">
        <w:rPr>
          <w:rStyle w:val="FootnoteReference"/>
        </w:rPr>
        <w:footnoteReference w:id="6"/>
      </w:r>
      <w:r w:rsidRPr="00B71ACE">
        <w:t xml:space="preserve">; </w:t>
      </w:r>
    </w:p>
    <w:p w14:paraId="3A2C7724" w14:textId="77777777" w:rsidR="00D06DD9" w:rsidRPr="00B71ACE" w:rsidRDefault="00D06DD9" w:rsidP="00D06DD9">
      <w:pPr>
        <w:pStyle w:val="NormalHanging12a"/>
      </w:pPr>
      <w:r w:rsidRPr="00B71ACE">
        <w:t>1.</w:t>
      </w:r>
      <w:r w:rsidRPr="00B71ACE">
        <w:tab/>
        <w:t>er enig med Kommissionen i, at betingelserne i EGF-forordningen og særlig i artikel 4, stk. 2, litra a), er opfyldt, og at Belgien derfor er berettiget til økonomisk støtte på 1 916 733 EUR i henhold til nævnte forordning, hvilket svarer til 85 % af de samlede omkostninger på 2 254 980 EUR og omfatter udgifterne til individualiserede tilbud på 2 168 980 EUR samt udgifter til forberedende arbejde, forvaltning, oplysning, offentlig omtale, kontrol- og rapporteringsaktiviteter på 86 000 EUR;</w:t>
      </w:r>
    </w:p>
    <w:p w14:paraId="56E383BB" w14:textId="50BA5C77" w:rsidR="00D06DD9" w:rsidRPr="00B71ACE" w:rsidRDefault="00D06DD9" w:rsidP="00D06DD9">
      <w:pPr>
        <w:pStyle w:val="NormalHanging12a"/>
      </w:pPr>
      <w:r w:rsidRPr="00B71ACE">
        <w:t>2.</w:t>
      </w:r>
      <w:r w:rsidRPr="00B71ACE">
        <w:tab/>
        <w:t xml:space="preserve">bemærker, at de belgiske myndigheder indgav ansøgningen den 23. september 2025, og at Kommissionen efter at have modtaget yderligere oplysninger fra Belgien den 6. februar 2026 afsluttede sin vurdering heraf og fremsendte den til Parlamentet den 11. februar 2026; understreger vigtigheden af at afkorte tidsrummet mellem indgivelsen af en ansøgning om EGF-støtte og finansieringsafgørelsen, samtidig med at </w:t>
      </w:r>
      <w:r w:rsidR="007759A8">
        <w:t xml:space="preserve">rettighederne for </w:t>
      </w:r>
      <w:r w:rsidRPr="00B71ACE">
        <w:t>Europa-Parlamentet som den ene af budgetmyndighedens to parter beskyttes fuldt ud;</w:t>
      </w:r>
    </w:p>
    <w:p w14:paraId="71418D19" w14:textId="77777777" w:rsidR="00D06DD9" w:rsidRPr="00B71ACE" w:rsidRDefault="00D06DD9" w:rsidP="00D06DD9">
      <w:pPr>
        <w:pStyle w:val="NormalHanging12a"/>
      </w:pPr>
      <w:r w:rsidRPr="00B71ACE">
        <w:t>3.</w:t>
      </w:r>
      <w:r w:rsidRPr="00B71ACE">
        <w:tab/>
        <w:t>bemærker, at ansøgningen vedrører arbejdstagere, hvis aktivitet ophørte i to af Casas virksomheder, og at de alle vil være tiltænkte støttemodtagere;</w:t>
      </w:r>
    </w:p>
    <w:p w14:paraId="7ACEF50F" w14:textId="187A27F6" w:rsidR="00D06DD9" w:rsidRPr="00B71ACE" w:rsidRDefault="00D06DD9" w:rsidP="00D06DD9">
      <w:pPr>
        <w:pStyle w:val="NormalHanging12a"/>
      </w:pPr>
      <w:r w:rsidRPr="00B71ACE">
        <w:t>4.</w:t>
      </w:r>
      <w:r w:rsidRPr="00B71ACE">
        <w:tab/>
        <w:t>noterer sig, at Casa oplevede finansielle vanskeligheder i flere år forud for konkurserklæringen som følge af den stigende udbredelse af e-handel, øget international konkurrence og urimelige konkurrencevilkår, hvilket i sidste ende resulterede i alvorlig likviditetsmangel og manglende evne til at identificere potentielle købere til virksomheden; fremhæver behovet for at styrke kapacitet</w:t>
      </w:r>
      <w:r w:rsidR="007759A8">
        <w:t>en af virksomhedsledelse</w:t>
      </w:r>
      <w:r w:rsidRPr="00B71ACE">
        <w:t xml:space="preserve"> til at forebygge afskedigelser ved at tilpasse sig den nuværende geopolitiske kontekst og til proaktivt at håndtere større omstruktureringer;</w:t>
      </w:r>
    </w:p>
    <w:p w14:paraId="709C3FC0" w14:textId="77777777" w:rsidR="00D06DD9" w:rsidRPr="00B71ACE" w:rsidRDefault="00D06DD9" w:rsidP="00D06DD9">
      <w:pPr>
        <w:pStyle w:val="NormalHanging12a"/>
      </w:pPr>
      <w:r w:rsidRPr="00B71ACE">
        <w:t>5.</w:t>
      </w:r>
      <w:r w:rsidRPr="00B71ACE">
        <w:tab/>
        <w:t>noterer sig, at de afskedigede salgsassistenter har de mest gunstige beskæftigelsesudsigter, mens lagerarbejderne står over for større vanskeligheder med at finde et nyt job og har brug for yderligere støtte gennem opkvalificering, omskoling, flytning eller omplacering; opfordrer de belgiske myndigheder til at yde specifik skræddersyet støtte med henblik på at hjælpe arbejdstagerne med at overvinde deres begrænsninger og finde nye job, der er i overensstemmelse med arbejdsmarkedets behov; understreger, at reintegration af afskedigede arbejdstagere er afgørende for en fremtidssikret europæisk økonomi med et stærkt industrigrundlag;</w:t>
      </w:r>
    </w:p>
    <w:p w14:paraId="354699F8" w14:textId="77777777" w:rsidR="00D06DD9" w:rsidRPr="00B71ACE" w:rsidRDefault="00D06DD9" w:rsidP="00D06DD9">
      <w:pPr>
        <w:pStyle w:val="NormalHanging12a"/>
      </w:pPr>
      <w:r w:rsidRPr="00B71ACE">
        <w:t>6.</w:t>
      </w:r>
      <w:r w:rsidRPr="00B71ACE">
        <w:tab/>
        <w:t xml:space="preserve">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fremhæver, at risikoen for arbejdsløshed i Flandern er over dobbelt så stor for personer med et lavt uddannelsesniveau; understreger vigtigheden af at have et erhvervsvenligt miljø, som gør det muligt for virksomhederne at forblive konkurrencedygtige, skaber </w:t>
      </w:r>
      <w:r w:rsidRPr="00B71ACE">
        <w:lastRenderedPageBreak/>
        <w:t>arbejdspladser og bidrager til bæredygtig økonomisk vækst;</w:t>
      </w:r>
    </w:p>
    <w:p w14:paraId="708D8440" w14:textId="77777777" w:rsidR="00D06DD9" w:rsidRPr="00B71ACE" w:rsidRDefault="00D06DD9" w:rsidP="00D06DD9">
      <w:pPr>
        <w:pStyle w:val="NormalHanging12a"/>
      </w:pPr>
      <w:r w:rsidRPr="00B71ACE">
        <w:t>7.</w:t>
      </w:r>
      <w:r w:rsidRPr="00B71ACE">
        <w:tab/>
        <w:t xml:space="preserve">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Unionens langsigtede økonomiske og sociale modstandsdygtighed; understreger, at arbejdsmarkedets parter bør inddrages under hele gennemførelsen af EGF-foranstaltningerne, herunder overvågningsfasen, for at sikre kvaliteten og relevansen af den støtte, der tilbydes støttemodtagerne; </w:t>
      </w:r>
    </w:p>
    <w:p w14:paraId="00177E32" w14:textId="215BBCF8" w:rsidR="00D06DD9" w:rsidRPr="00B71ACE" w:rsidRDefault="00D06DD9" w:rsidP="00D06DD9">
      <w:pPr>
        <w:pStyle w:val="NormalHanging12a"/>
      </w:pPr>
      <w:r w:rsidRPr="00B71ACE">
        <w:t>8.</w:t>
      </w:r>
      <w:r w:rsidRPr="00B71ACE">
        <w:tab/>
        <w:t xml:space="preserve">minder om, at EGF er et instrument til solidaritet og retfærdig omstilling, og selv om den yder støtte efter tab af arbejdspladser, kan den ikke erstatte en proaktiv industripolitik; mener, at mobiliseringen af EGF skal integreres i en større politisk indsats på alle politiske niveauer for at sikre, at de berørte arbejdstagere finder passende muligheder i overensstemmelse med deres kvalifikationer og færdigheder; understreger, at Unionens primære opgave </w:t>
      </w:r>
      <w:r w:rsidR="007759A8">
        <w:t>må</w:t>
      </w:r>
      <w:r w:rsidR="007759A8" w:rsidRPr="00B71ACE">
        <w:t xml:space="preserve"> </w:t>
      </w:r>
      <w:r w:rsidRPr="00B71ACE">
        <w:t xml:space="preserve">være at forhindre sådanne lukninger i første omgang ved at skabe betingelserne for at holde industriproduktionen konkurrencedygtig, samtidig med at der investeres i færdigheder for både højt kvalificerede arbejdstagere og industriarbejdere; understreger behovet for at yde specifik støtte, der er skræddersyet til </w:t>
      </w:r>
      <w:proofErr w:type="spellStart"/>
      <w:r w:rsidRPr="00B71ACE">
        <w:t>lavtuddannede</w:t>
      </w:r>
      <w:proofErr w:type="spellEnd"/>
      <w:r w:rsidRPr="00B71ACE">
        <w:t xml:space="preserve"> arbejdstageres profiler, samtidig med at der træffes foranstaltninger til at mindske konkurser og afhjælpe sociale forskelle, der fører til udelukkelse fra arbejdsstyrken;</w:t>
      </w:r>
    </w:p>
    <w:p w14:paraId="2050E9DB" w14:textId="77777777" w:rsidR="00D06DD9" w:rsidRPr="00B71ACE" w:rsidRDefault="00D06DD9" w:rsidP="00D06DD9">
      <w:pPr>
        <w:pStyle w:val="NormalHanging12a"/>
        <w:rPr>
          <w:bCs/>
          <w:iCs/>
        </w:rPr>
      </w:pPr>
      <w:r w:rsidRPr="00B71ACE">
        <w:t>9.</w:t>
      </w:r>
      <w:r w:rsidRPr="00B71ACE">
        <w:tab/>
        <w:t>understreger, at de belgiske myndigheder skal sikre synligheden af EU-finansieringen og fremhæve dens merværdi ved at give effektive og målrettede oplysninger til støttemodtagere, regionale og lokale myndigheder, arbejdsmarkedets parter og den brede offentlighed;</w:t>
      </w:r>
    </w:p>
    <w:p w14:paraId="5B28380C" w14:textId="77777777" w:rsidR="00D06DD9" w:rsidRPr="00B71ACE" w:rsidRDefault="00D06DD9" w:rsidP="00D06DD9">
      <w:pPr>
        <w:pStyle w:val="NormalHanging12a"/>
      </w:pPr>
      <w:r w:rsidRPr="00B71ACE">
        <w:t>10.</w:t>
      </w:r>
      <w:r w:rsidRPr="00B71ACE">
        <w:tab/>
        <w:t>opfordrer til, at der foretages grundige endelige evalueringer af de gennemførte foranstaltninger, herunder at der tilvejebringes klare oplysninger om, hvordan midlerne er blevet anvendt, om det er lykkedes at reintegrere arbejdstagerne på arbejdsmarkedet, og hvorvidt de mål, som var formålet med oprettelsen af EGF, blev nået ved hjælp af foranstaltningerne;</w:t>
      </w:r>
    </w:p>
    <w:p w14:paraId="30FB0265" w14:textId="77777777" w:rsidR="00D06DD9" w:rsidRPr="00B71ACE" w:rsidRDefault="00D06DD9" w:rsidP="00D06DD9">
      <w:pPr>
        <w:pStyle w:val="NormalHanging12a"/>
      </w:pPr>
      <w:r w:rsidRPr="00B71ACE">
        <w:t>11.</w:t>
      </w:r>
      <w:r w:rsidRPr="00B71ACE">
        <w:tab/>
        <w:t>bemærker, at Belgien begyndte at give individualiserede tilbud til de tiltænkte støttemodtagere den 14. marts 2025, og at perioden for berettigelse til økonomisk støtte fra EGF derfor vil være fra den dato og indtil 24 måneder efter datoen for finansieringsafgørelsens ikrafttræden;</w:t>
      </w:r>
    </w:p>
    <w:p w14:paraId="2897B4F5" w14:textId="77777777" w:rsidR="00D06DD9" w:rsidRPr="00B71ACE" w:rsidRDefault="00D06DD9" w:rsidP="00D06DD9">
      <w:pPr>
        <w:pStyle w:val="NormalHanging12a"/>
        <w:rPr>
          <w:sz w:val="23"/>
          <w:szCs w:val="23"/>
        </w:rPr>
      </w:pPr>
      <w:r w:rsidRPr="00B71ACE">
        <w:t>12.</w:t>
      </w:r>
      <w:r w:rsidRPr="00B71ACE">
        <w:tab/>
        <w:t xml:space="preserve">bemærker, at Belgien siden den 6. marts 2025 har afholdt de administrative udgifter til gennemførelsen af EGF, og at disse udgifter derfor berettiger til økonomisk støtte fra EGF fra den dato og indtil 31 måneder efter datoen for finansieringsafgørelsens </w:t>
      </w:r>
      <w:r w:rsidRPr="00B71ACE">
        <w:lastRenderedPageBreak/>
        <w:t>ikrafttræden;</w:t>
      </w:r>
    </w:p>
    <w:p w14:paraId="5F05F3CB" w14:textId="77777777" w:rsidR="00D06DD9" w:rsidRPr="00B71ACE" w:rsidRDefault="00D06DD9" w:rsidP="00D06DD9">
      <w:pPr>
        <w:pStyle w:val="NormalHanging12a"/>
      </w:pPr>
      <w:r w:rsidRPr="00B71ACE">
        <w:t>13.</w:t>
      </w:r>
      <w:r w:rsidRPr="00B71ACE">
        <w:tab/>
        <w:t>bemærker, at de belgiske myndigheder har givet garanti for, at principperne om ligebehandling og ikkeforskelsbehandling vil blive overholdt i forbindelse med adgangen til de foreslåede foranstaltninger og deres gennemførelse, og at dobbeltfinansiering vil blive forhindret;</w:t>
      </w:r>
    </w:p>
    <w:p w14:paraId="026695F5" w14:textId="14D1B5D5" w:rsidR="00D06DD9" w:rsidRPr="00B71ACE" w:rsidRDefault="00D06DD9" w:rsidP="00D06DD9">
      <w:pPr>
        <w:pStyle w:val="NormalHanging12a"/>
      </w:pPr>
      <w:r w:rsidRPr="00B71ACE">
        <w:t>14.</w:t>
      </w:r>
      <w:r w:rsidRPr="00B71ACE">
        <w:tab/>
        <w:t xml:space="preserve">gentager, at støtte fra EGF ikke må erstatte </w:t>
      </w:r>
      <w:r w:rsidR="007759A8">
        <w:t>tiltag</w:t>
      </w:r>
      <w:r w:rsidRPr="00B71ACE">
        <w:t xml:space="preserve">, som det påhviler de offentlige myndigheder eller virksomhederne at gennemføre i henhold til national </w:t>
      </w:r>
      <w:r w:rsidR="007759A8">
        <w:t>ret</w:t>
      </w:r>
      <w:r w:rsidR="007759A8" w:rsidRPr="00B71ACE">
        <w:t xml:space="preserve"> </w:t>
      </w:r>
      <w:r w:rsidRPr="00B71ACE">
        <w:t>eller kollektive overenskomster; minder om, at EGF er en begrænset, målrettet og komplementær mekanisme;</w:t>
      </w:r>
    </w:p>
    <w:p w14:paraId="34937800" w14:textId="77777777" w:rsidR="00D06DD9" w:rsidRPr="00B71ACE" w:rsidRDefault="00D06DD9" w:rsidP="00D06DD9">
      <w:pPr>
        <w:pStyle w:val="NormalHanging12a"/>
      </w:pPr>
      <w:r w:rsidRPr="00B71ACE">
        <w:t>15.</w:t>
      </w:r>
      <w:r w:rsidRPr="00B71ACE">
        <w:tab/>
        <w:t>godkender den afgørelse, der er vedføjet denne beslutning;</w:t>
      </w:r>
    </w:p>
    <w:p w14:paraId="186F60FC" w14:textId="77777777" w:rsidR="00D06DD9" w:rsidRPr="00B71ACE" w:rsidRDefault="00D06DD9" w:rsidP="00D06DD9">
      <w:pPr>
        <w:pStyle w:val="NormalHanging12a"/>
      </w:pPr>
      <w:r w:rsidRPr="00B71ACE">
        <w:t>16.</w:t>
      </w:r>
      <w:r w:rsidRPr="00B71ACE">
        <w:tab/>
        <w:t xml:space="preserve">pålægger sin formand at undertegne denne afgørelse sammen med Rådets formand og drage omsorg for, at den offentliggøres i </w:t>
      </w:r>
      <w:r w:rsidRPr="00B71ACE">
        <w:rPr>
          <w:i/>
          <w:iCs/>
        </w:rPr>
        <w:t>Den Europæiske Unions Tidende</w:t>
      </w:r>
      <w:r w:rsidRPr="00B71ACE">
        <w:t>;</w:t>
      </w:r>
    </w:p>
    <w:p w14:paraId="03E86AE2" w14:textId="77777777" w:rsidR="00D06DD9" w:rsidRPr="00B71ACE" w:rsidRDefault="00D06DD9" w:rsidP="00D06DD9">
      <w:pPr>
        <w:pStyle w:val="NormalHanging12a"/>
      </w:pPr>
      <w:r w:rsidRPr="00B71ACE">
        <w:t>17.</w:t>
      </w:r>
      <w:r w:rsidRPr="00B71ACE">
        <w:tab/>
        <w:t>pålægger sin formand at sende denne beslutning sammen med bilaget til Rådet og Kommissionen.</w:t>
      </w:r>
    </w:p>
    <w:p w14:paraId="59A4A473" w14:textId="77777777" w:rsidR="00D06DD9" w:rsidRPr="00B71ACE" w:rsidRDefault="00D06DD9" w:rsidP="00D06DD9"/>
    <w:p w14:paraId="1C45B562" w14:textId="77777777" w:rsidR="00D06DD9" w:rsidRPr="00B71ACE" w:rsidRDefault="00D06DD9" w:rsidP="00D06DD9">
      <w:pPr>
        <w:pStyle w:val="PageHeading"/>
        <w:sectPr w:rsidR="00D06DD9" w:rsidRPr="00B71ACE" w:rsidSect="00B71A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100A4A" w14:textId="77777777" w:rsidR="00B67137" w:rsidRDefault="00D06DD9" w:rsidP="00D06DD9">
      <w:pPr>
        <w:pStyle w:val="PageHeading"/>
        <w:rPr>
          <w:rFonts w:ascii="Times New Roman" w:hAnsi="Times New Roman" w:cs="Times New Roman"/>
        </w:rPr>
      </w:pPr>
      <w:bookmarkStart w:id="6" w:name="_Toc221116748"/>
      <w:bookmarkStart w:id="7" w:name="_Toc224799725"/>
      <w:r w:rsidRPr="00B67137">
        <w:rPr>
          <w:rFonts w:ascii="Times New Roman" w:hAnsi="Times New Roman" w:cs="Times New Roman"/>
        </w:rPr>
        <w:lastRenderedPageBreak/>
        <w:t>BILAG</w:t>
      </w:r>
      <w:bookmarkStart w:id="8" w:name="_Hlk219192825"/>
    </w:p>
    <w:p w14:paraId="394C2FC4" w14:textId="76E49409" w:rsidR="00D06DD9" w:rsidRPr="00B67137" w:rsidRDefault="00D06DD9" w:rsidP="00D06DD9">
      <w:pPr>
        <w:pStyle w:val="PageHeading"/>
        <w:rPr>
          <w:rFonts w:ascii="Times New Roman" w:hAnsi="Times New Roman" w:cs="Times New Roman"/>
        </w:rPr>
      </w:pPr>
      <w:r w:rsidRPr="00B67137">
        <w:rPr>
          <w:rFonts w:ascii="Times New Roman" w:hAnsi="Times New Roman" w:cs="Times New Roman"/>
        </w:rPr>
        <w:t>EUROPA-PARLAMENTETS OG RÅDETS AFGØRELSE</w:t>
      </w:r>
      <w:bookmarkEnd w:id="6"/>
      <w:bookmarkEnd w:id="7"/>
    </w:p>
    <w:p w14:paraId="3AD150C3" w14:textId="79A7E4C3" w:rsidR="00D06DD9" w:rsidRDefault="00D06DD9" w:rsidP="00D06DD9">
      <w:pPr>
        <w:pStyle w:val="Titreobjet"/>
      </w:pPr>
      <w:r w:rsidRPr="00B71ACE">
        <w:t xml:space="preserve">om mobilisering af Den Europæiske Fond for Tilpasning til Globaliseringen for Afskedigede Arbejdstagere på baggrund af en ansøgning fra Belgien </w:t>
      </w:r>
      <w:r w:rsidR="00B67137" w:rsidRPr="003F0F77">
        <w:rPr>
          <w:noProof/>
        </w:rPr>
        <w:t>–</w:t>
      </w:r>
      <w:r w:rsidR="00B67137">
        <w:rPr>
          <w:noProof/>
        </w:rPr>
        <w:t xml:space="preserve"> </w:t>
      </w:r>
      <w:r w:rsidRPr="00B71ACE">
        <w:t>EGF/2025/007 BE/Casa</w:t>
      </w:r>
    </w:p>
    <w:p w14:paraId="08DCF270" w14:textId="77777777" w:rsidR="00B67137" w:rsidRDefault="00B67137" w:rsidP="00FF62A3">
      <w:pPr>
        <w:tabs>
          <w:tab w:val="left" w:pos="567"/>
          <w:tab w:val="left" w:pos="851"/>
          <w:tab w:val="left" w:pos="1134"/>
          <w:tab w:val="left" w:pos="1418"/>
          <w:tab w:val="left" w:pos="1701"/>
        </w:tabs>
        <w:ind w:right="-1"/>
      </w:pPr>
    </w:p>
    <w:p w14:paraId="1F4D77D9" w14:textId="582DBF88" w:rsidR="00B67137" w:rsidRPr="00F43BBF" w:rsidRDefault="00B67137" w:rsidP="00FF62A3">
      <w:pPr>
        <w:rPr>
          <w:i/>
        </w:rPr>
      </w:pPr>
      <w:r w:rsidRPr="00F43BBF">
        <w:rPr>
          <w:i/>
        </w:rPr>
        <w:t xml:space="preserve">(Teksten i bilaget gengives ikke her, eftersom det svarer til den endelige retsakt, </w:t>
      </w:r>
      <w:r>
        <w:rPr>
          <w:i/>
        </w:rPr>
        <w:t>afgørelse (EU) 2026/851</w:t>
      </w:r>
      <w:r w:rsidRPr="00F43BBF">
        <w:rPr>
          <w:i/>
        </w:rPr>
        <w:t>).</w:t>
      </w:r>
    </w:p>
    <w:p w14:paraId="1FDB8BBB" w14:textId="06807389" w:rsidR="00B67137" w:rsidRPr="00B67137" w:rsidRDefault="00B67137" w:rsidP="00B67137">
      <w:pPr>
        <w:rPr>
          <w:lang w:eastAsia="en-US"/>
        </w:rPr>
      </w:pPr>
    </w:p>
    <w:bookmarkEnd w:id="8"/>
    <w:sectPr w:rsidR="00B67137" w:rsidRPr="00B67137" w:rsidSect="00B71AC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4B6E" w14:textId="77777777" w:rsidR="00602EFE" w:rsidRPr="00B71ACE" w:rsidRDefault="00602EFE">
      <w:r w:rsidRPr="00B71ACE">
        <w:separator/>
      </w:r>
    </w:p>
  </w:endnote>
  <w:endnote w:type="continuationSeparator" w:id="0">
    <w:p w14:paraId="7FC9535F" w14:textId="77777777" w:rsidR="00602EFE" w:rsidRPr="00B71ACE" w:rsidRDefault="00602EFE">
      <w:r w:rsidRPr="00B71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3A72" w14:textId="77777777" w:rsidR="00D06DD9" w:rsidRPr="00B71ACE" w:rsidRDefault="00D06DD9" w:rsidP="003E4D6D">
    <w:pPr>
      <w:pStyle w:val="EPFooter"/>
    </w:pPr>
    <w:r w:rsidRPr="00B71ACE">
      <w:t>PE</w:t>
    </w:r>
    <w:r w:rsidRPr="00B71ACE">
      <w:rPr>
        <w:rStyle w:val="HideTWBExt"/>
      </w:rPr>
      <w:t>&lt;</w:t>
    </w:r>
    <w:proofErr w:type="spellStart"/>
    <w:r w:rsidRPr="00B71ACE">
      <w:rPr>
        <w:rStyle w:val="HideTWBExt"/>
      </w:rPr>
      <w:t>NoPE</w:t>
    </w:r>
    <w:proofErr w:type="spellEnd"/>
    <w:r w:rsidRPr="00B71ACE">
      <w:rPr>
        <w:rStyle w:val="HideTWBExt"/>
      </w:rPr>
      <w:t>&gt;</w:t>
    </w:r>
    <w:r w:rsidRPr="00B71ACE">
      <w:t>784.477</w:t>
    </w:r>
    <w:r w:rsidRPr="00B71ACE">
      <w:rPr>
        <w:rStyle w:val="HideTWBExt"/>
      </w:rPr>
      <w:t>&lt;/</w:t>
    </w:r>
    <w:proofErr w:type="spellStart"/>
    <w:r w:rsidRPr="00B71ACE">
      <w:rPr>
        <w:rStyle w:val="HideTWBExt"/>
      </w:rPr>
      <w:t>NoPE</w:t>
    </w:r>
    <w:proofErr w:type="spellEnd"/>
    <w:r w:rsidRPr="00B71ACE">
      <w:rPr>
        <w:rStyle w:val="HideTWBExt"/>
      </w:rPr>
      <w:t>&gt;&lt;Version&gt;</w:t>
    </w:r>
    <w:r w:rsidRPr="00B71ACE">
      <w:t>v02-00</w:t>
    </w:r>
    <w:r w:rsidRPr="00B71ACE">
      <w:rPr>
        <w:rStyle w:val="HideTWBExt"/>
      </w:rPr>
      <w:t>&lt;/Version&gt;</w:t>
    </w:r>
    <w:r w:rsidRPr="00B71ACE">
      <w:tab/>
    </w:r>
    <w:r w:rsidRPr="00B71ACE">
      <w:fldChar w:fldCharType="begin"/>
    </w:r>
    <w:r w:rsidRPr="00B71ACE">
      <w:instrText xml:space="preserve"> PAGE  \* MERGEFORMAT </w:instrText>
    </w:r>
    <w:r w:rsidRPr="00B71ACE">
      <w:fldChar w:fldCharType="separate"/>
    </w:r>
    <w:r w:rsidRPr="00B71ACE">
      <w:rPr>
        <w:noProof/>
      </w:rPr>
      <w:t>1</w:t>
    </w:r>
    <w:r w:rsidRPr="00B71ACE">
      <w:fldChar w:fldCharType="end"/>
    </w:r>
    <w:r w:rsidRPr="00B71ACE">
      <w:t>/</w:t>
    </w:r>
    <w:fldSimple w:instr=" NUMPAGES  \* MERGEFORMAT ">
      <w:r w:rsidRPr="00B71ACE">
        <w:rPr>
          <w:noProof/>
        </w:rPr>
        <w:t>1</w:t>
      </w:r>
    </w:fldSimple>
    <w:r w:rsidRPr="00B71ACE">
      <w:tab/>
    </w:r>
    <w:r w:rsidRPr="00B71ACE">
      <w:rPr>
        <w:rStyle w:val="HideTWBExt"/>
      </w:rPr>
      <w:t>&lt;PathFdR&gt;</w:t>
    </w:r>
    <w:r w:rsidRPr="00B71ACE">
      <w:t>RR\1339712DA.docx</w:t>
    </w:r>
    <w:r w:rsidRPr="00B71ACE">
      <w:rPr>
        <w:rStyle w:val="HideTWBExt"/>
      </w:rPr>
      <w:t>&lt;/</w:t>
    </w:r>
    <w:proofErr w:type="spellStart"/>
    <w:r w:rsidRPr="00B71ACE">
      <w:rPr>
        <w:rStyle w:val="HideTWBExt"/>
      </w:rPr>
      <w:t>PathFdR</w:t>
    </w:r>
    <w:proofErr w:type="spellEnd"/>
    <w:r w:rsidRPr="00B71ACE">
      <w:rPr>
        <w:rStyle w:val="HideTWBExt"/>
      </w:rPr>
      <w:t>&gt;</w:t>
    </w:r>
  </w:p>
  <w:p w14:paraId="182611D1" w14:textId="77777777" w:rsidR="00D06DD9" w:rsidRPr="00B71ACE" w:rsidRDefault="00D06DD9" w:rsidP="003E4D6D">
    <w:pPr>
      <w:pStyle w:val="EPFooter2"/>
    </w:pPr>
    <w:r w:rsidRPr="00B71AC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46AE" w14:textId="02782986" w:rsidR="00D06DD9" w:rsidRPr="00B71ACE" w:rsidRDefault="00D06DD9" w:rsidP="003E4D6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9EE4" w14:textId="77777777" w:rsidR="00D06DD9" w:rsidRPr="00B71ACE" w:rsidRDefault="00D06DD9" w:rsidP="003E4D6D">
    <w:pPr>
      <w:pStyle w:val="EPFooter"/>
    </w:pPr>
    <w:r w:rsidRPr="00B71ACE">
      <w:rPr>
        <w:rStyle w:val="HideTWBExt"/>
      </w:rPr>
      <w:t>&lt;PathFdR&gt;</w:t>
    </w:r>
    <w:r w:rsidRPr="00B71ACE">
      <w:t>RR\1339712DA.docx</w:t>
    </w:r>
    <w:r w:rsidRPr="00B71ACE">
      <w:rPr>
        <w:rStyle w:val="HideTWBExt"/>
      </w:rPr>
      <w:t>&lt;/</w:t>
    </w:r>
    <w:proofErr w:type="spellStart"/>
    <w:r w:rsidRPr="00B71ACE">
      <w:rPr>
        <w:rStyle w:val="HideTWBExt"/>
      </w:rPr>
      <w:t>PathFdR</w:t>
    </w:r>
    <w:proofErr w:type="spellEnd"/>
    <w:r w:rsidRPr="00B71ACE">
      <w:rPr>
        <w:rStyle w:val="HideTWBExt"/>
      </w:rPr>
      <w:t>&gt;</w:t>
    </w:r>
    <w:r w:rsidRPr="00B71ACE">
      <w:tab/>
    </w:r>
    <w:r w:rsidRPr="00B71ACE">
      <w:tab/>
      <w:t>PE</w:t>
    </w:r>
    <w:r w:rsidRPr="00B71ACE">
      <w:rPr>
        <w:rStyle w:val="HideTWBExt"/>
      </w:rPr>
      <w:t>&lt;</w:t>
    </w:r>
    <w:proofErr w:type="spellStart"/>
    <w:r w:rsidRPr="00B71ACE">
      <w:rPr>
        <w:rStyle w:val="HideTWBExt"/>
      </w:rPr>
      <w:t>NoPE</w:t>
    </w:r>
    <w:proofErr w:type="spellEnd"/>
    <w:r w:rsidRPr="00B71ACE">
      <w:rPr>
        <w:rStyle w:val="HideTWBExt"/>
      </w:rPr>
      <w:t>&gt;</w:t>
    </w:r>
    <w:r w:rsidRPr="00B71ACE">
      <w:t>784.477</w:t>
    </w:r>
    <w:r w:rsidRPr="00B71ACE">
      <w:rPr>
        <w:rStyle w:val="HideTWBExt"/>
      </w:rPr>
      <w:t>&lt;/</w:t>
    </w:r>
    <w:proofErr w:type="spellStart"/>
    <w:r w:rsidRPr="00B71ACE">
      <w:rPr>
        <w:rStyle w:val="HideTWBExt"/>
      </w:rPr>
      <w:t>NoPE</w:t>
    </w:r>
    <w:proofErr w:type="spellEnd"/>
    <w:r w:rsidRPr="00B71ACE">
      <w:rPr>
        <w:rStyle w:val="HideTWBExt"/>
      </w:rPr>
      <w:t>&gt;&lt;Version&gt;</w:t>
    </w:r>
    <w:r w:rsidRPr="00B71ACE">
      <w:t>v02-00</w:t>
    </w:r>
    <w:r w:rsidRPr="00B71ACE">
      <w:rPr>
        <w:rStyle w:val="HideTWBExt"/>
      </w:rPr>
      <w:t>&lt;/Version&gt;</w:t>
    </w:r>
  </w:p>
  <w:p w14:paraId="05D1875E" w14:textId="77777777" w:rsidR="00D06DD9" w:rsidRPr="00B71ACE" w:rsidRDefault="00D06DD9" w:rsidP="003E4D6D">
    <w:pPr>
      <w:pStyle w:val="EPFooter2"/>
    </w:pPr>
    <w:r w:rsidRPr="00B71ACE">
      <w:t>DA</w:t>
    </w:r>
    <w:r w:rsidRPr="00B71ACE">
      <w:tab/>
    </w:r>
    <w:r w:rsidRPr="00B71ACE">
      <w:rPr>
        <w:b w:val="0"/>
        <w:i/>
        <w:color w:val="C0C0C0"/>
        <w:sz w:val="22"/>
      </w:rPr>
      <w:t>Forenet i mangfoldighed</w:t>
    </w:r>
    <w:r w:rsidRPr="00B71ACE">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784D" w14:textId="77777777" w:rsidR="00064002" w:rsidRPr="00B71AC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0B54" w14:textId="77777777" w:rsidR="00064002" w:rsidRPr="00B71AC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CD08" w14:textId="77777777" w:rsidR="00064002" w:rsidRPr="00B71A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D14F4" w14:textId="77777777" w:rsidR="00602EFE" w:rsidRPr="00B71ACE" w:rsidRDefault="00602EFE">
      <w:r w:rsidRPr="00B71ACE">
        <w:separator/>
      </w:r>
    </w:p>
  </w:footnote>
  <w:footnote w:type="continuationSeparator" w:id="0">
    <w:p w14:paraId="1C050250" w14:textId="77777777" w:rsidR="00602EFE" w:rsidRPr="00B71ACE" w:rsidRDefault="00602EFE">
      <w:r w:rsidRPr="00B71ACE">
        <w:continuationSeparator/>
      </w:r>
    </w:p>
  </w:footnote>
  <w:footnote w:id="1">
    <w:p w14:paraId="19F51507" w14:textId="2AA68E18" w:rsidR="00D06DD9" w:rsidRPr="00B71ACE" w:rsidRDefault="00D06DD9" w:rsidP="00B71ACE">
      <w:pPr>
        <w:pStyle w:val="FootnoteText"/>
        <w:ind w:left="567" w:hanging="567"/>
        <w:rPr>
          <w:sz w:val="24"/>
          <w:lang w:val="da-DK"/>
        </w:rPr>
      </w:pPr>
      <w:r w:rsidRPr="00B71ACE">
        <w:rPr>
          <w:rStyle w:val="FootnoteReference"/>
          <w:sz w:val="24"/>
          <w:lang w:val="da-DK"/>
        </w:rPr>
        <w:footnoteRef/>
      </w:r>
      <w:r w:rsidR="00B71ACE" w:rsidRPr="00B71ACE">
        <w:rPr>
          <w:sz w:val="24"/>
          <w:lang w:val="da-DK"/>
        </w:rPr>
        <w:t xml:space="preserve"> </w:t>
      </w:r>
      <w:r w:rsidR="00B71ACE" w:rsidRPr="00B71ACE">
        <w:rPr>
          <w:sz w:val="24"/>
          <w:lang w:val="da-DK"/>
        </w:rPr>
        <w:tab/>
      </w:r>
      <w:r w:rsidRPr="00B71ACE">
        <w:rPr>
          <w:sz w:val="24"/>
          <w:lang w:val="da-DK"/>
        </w:rPr>
        <w:t xml:space="preserve">EUT L 153 af 3.5.2021, s. 48, ELI: </w:t>
      </w:r>
      <w:hyperlink r:id="rId1" w:history="1">
        <w:r w:rsidRPr="00B71ACE">
          <w:rPr>
            <w:rStyle w:val="Hyperlink"/>
            <w:sz w:val="24"/>
            <w:lang w:val="da-DK"/>
          </w:rPr>
          <w:t>http://data.europa.eu/eli/reg/2021/691/oj</w:t>
        </w:r>
      </w:hyperlink>
      <w:r w:rsidRPr="00B71ACE">
        <w:rPr>
          <w:sz w:val="24"/>
          <w:lang w:val="da-DK"/>
        </w:rPr>
        <w:t>.</w:t>
      </w:r>
    </w:p>
  </w:footnote>
  <w:footnote w:id="2">
    <w:p w14:paraId="6A346091" w14:textId="52A5EF62" w:rsidR="00D06DD9" w:rsidRPr="00B71ACE" w:rsidRDefault="00D06DD9" w:rsidP="00B71ACE">
      <w:pPr>
        <w:pStyle w:val="FootnoteText"/>
        <w:ind w:left="567" w:hanging="567"/>
        <w:rPr>
          <w:sz w:val="24"/>
          <w:lang w:val="da-DK"/>
        </w:rPr>
      </w:pPr>
      <w:r w:rsidRPr="00B71ACE">
        <w:rPr>
          <w:rStyle w:val="FootnoteReference"/>
          <w:sz w:val="24"/>
          <w:lang w:val="da-DK"/>
        </w:rPr>
        <w:footnoteRef/>
      </w:r>
      <w:r w:rsidR="00B71ACE" w:rsidRPr="00B71ACE">
        <w:rPr>
          <w:sz w:val="24"/>
          <w:lang w:val="da-DK"/>
        </w:rPr>
        <w:t xml:space="preserve"> </w:t>
      </w:r>
      <w:r w:rsidR="00B71ACE" w:rsidRPr="00B71ACE">
        <w:rPr>
          <w:sz w:val="24"/>
          <w:lang w:val="da-DK"/>
        </w:rPr>
        <w:tab/>
      </w:r>
      <w:r w:rsidRPr="00B71ACE">
        <w:rPr>
          <w:sz w:val="24"/>
          <w:lang w:val="da-DK"/>
        </w:rPr>
        <w:t xml:space="preserve">EUT L 433 I af 22.12.2020, s. 11, ELI: </w:t>
      </w:r>
      <w:hyperlink r:id="rId2" w:history="1">
        <w:r w:rsidRPr="00B71ACE">
          <w:rPr>
            <w:rStyle w:val="Hyperlink"/>
            <w:sz w:val="24"/>
            <w:lang w:val="da-DK"/>
          </w:rPr>
          <w:t>http://data.europa.eu/eli/reg/2020/2093/oj</w:t>
        </w:r>
      </w:hyperlink>
      <w:r w:rsidRPr="00B71ACE">
        <w:rPr>
          <w:sz w:val="24"/>
          <w:lang w:val="da-DK"/>
        </w:rPr>
        <w:t>.</w:t>
      </w:r>
    </w:p>
  </w:footnote>
  <w:footnote w:id="3">
    <w:p w14:paraId="76698F43" w14:textId="06C84366" w:rsidR="00D06DD9" w:rsidRPr="00B71ACE" w:rsidRDefault="00D06DD9" w:rsidP="00B71ACE">
      <w:pPr>
        <w:pStyle w:val="FootnoteText"/>
        <w:ind w:left="567" w:hanging="567"/>
        <w:rPr>
          <w:sz w:val="24"/>
          <w:lang w:val="da-DK"/>
        </w:rPr>
      </w:pPr>
      <w:r w:rsidRPr="00B71ACE">
        <w:rPr>
          <w:rStyle w:val="FootnoteReference"/>
          <w:sz w:val="24"/>
          <w:lang w:val="da-DK"/>
        </w:rPr>
        <w:footnoteRef/>
      </w:r>
      <w:r w:rsidR="00B71ACE" w:rsidRPr="00B71ACE">
        <w:rPr>
          <w:sz w:val="24"/>
          <w:shd w:val="clear" w:color="auto" w:fill="FFFFFF"/>
          <w:lang w:val="da-DK"/>
        </w:rPr>
        <w:t xml:space="preserve"> </w:t>
      </w:r>
      <w:r w:rsidR="00B71ACE" w:rsidRPr="00B71ACE">
        <w:rPr>
          <w:sz w:val="24"/>
          <w:shd w:val="clear" w:color="auto" w:fill="FFFFFF"/>
          <w:lang w:val="da-DK"/>
        </w:rPr>
        <w:tab/>
      </w:r>
      <w:r w:rsidRPr="00B71ACE">
        <w:rPr>
          <w:sz w:val="24"/>
          <w:shd w:val="clear" w:color="auto" w:fill="FFFFFF"/>
          <w:lang w:val="da-DK"/>
        </w:rPr>
        <w:t xml:space="preserve">Rådets forordning (EU, </w:t>
      </w:r>
      <w:proofErr w:type="spellStart"/>
      <w:r w:rsidRPr="00B71ACE">
        <w:rPr>
          <w:sz w:val="24"/>
          <w:shd w:val="clear" w:color="auto" w:fill="FFFFFF"/>
          <w:lang w:val="da-DK"/>
        </w:rPr>
        <w:t>Euratom</w:t>
      </w:r>
      <w:proofErr w:type="spellEnd"/>
      <w:r w:rsidRPr="00B71ACE">
        <w:rPr>
          <w:sz w:val="24"/>
          <w:shd w:val="clear" w:color="auto" w:fill="FFFFFF"/>
          <w:lang w:val="da-DK"/>
        </w:rPr>
        <w:t xml:space="preserve">) 2024/765 af 29. februar 2024 om ændring af forordning (EU, </w:t>
      </w:r>
      <w:proofErr w:type="spellStart"/>
      <w:r w:rsidRPr="00B71ACE">
        <w:rPr>
          <w:sz w:val="24"/>
          <w:shd w:val="clear" w:color="auto" w:fill="FFFFFF"/>
          <w:lang w:val="da-DK"/>
        </w:rPr>
        <w:t>Euratom</w:t>
      </w:r>
      <w:proofErr w:type="spellEnd"/>
      <w:r w:rsidRPr="00B71ACE">
        <w:rPr>
          <w:sz w:val="24"/>
          <w:shd w:val="clear" w:color="auto" w:fill="FFFFFF"/>
          <w:lang w:val="da-DK"/>
        </w:rPr>
        <w:t>) 2020/2093 om fastlæggelse af den flerårige finansielle ramme for årene 2021-2027 (EUT L, 2024/765, 29.2.2024, ELI:</w:t>
      </w:r>
      <w:r w:rsidRPr="00B71ACE">
        <w:rPr>
          <w:color w:val="333333"/>
          <w:sz w:val="24"/>
          <w:shd w:val="clear" w:color="auto" w:fill="FFFFFF"/>
          <w:lang w:val="da-DK"/>
        </w:rPr>
        <w:t xml:space="preserve"> </w:t>
      </w:r>
      <w:hyperlink r:id="rId3" w:history="1">
        <w:r w:rsidRPr="00B71ACE">
          <w:rPr>
            <w:rStyle w:val="Hyperlink"/>
            <w:sz w:val="24"/>
            <w:shd w:val="clear" w:color="auto" w:fill="FFFFFF"/>
            <w:lang w:val="da-DK"/>
          </w:rPr>
          <w:t>http://data.europa.eu/eli/reg/2024/765/oj</w:t>
        </w:r>
      </w:hyperlink>
      <w:r w:rsidRPr="00B71ACE">
        <w:rPr>
          <w:i/>
          <w:color w:val="333333"/>
          <w:sz w:val="24"/>
          <w:shd w:val="clear" w:color="auto" w:fill="FFFFFF"/>
          <w:lang w:val="da-DK"/>
        </w:rPr>
        <w:t>).</w:t>
      </w:r>
    </w:p>
  </w:footnote>
  <w:footnote w:id="4">
    <w:p w14:paraId="4AA9EF75" w14:textId="42DD5313" w:rsidR="00D06DD9" w:rsidRPr="00B71ACE" w:rsidRDefault="00D06DD9" w:rsidP="00B71ACE">
      <w:pPr>
        <w:pStyle w:val="FootnoteText"/>
        <w:ind w:left="567" w:hanging="567"/>
        <w:rPr>
          <w:sz w:val="24"/>
          <w:lang w:val="da-DK"/>
        </w:rPr>
      </w:pPr>
      <w:r w:rsidRPr="00B71ACE">
        <w:rPr>
          <w:rStyle w:val="FootnoteReference"/>
          <w:sz w:val="24"/>
          <w:lang w:val="da-DK"/>
        </w:rPr>
        <w:footnoteRef/>
      </w:r>
      <w:r w:rsidR="00B71ACE" w:rsidRPr="00B71ACE">
        <w:rPr>
          <w:sz w:val="24"/>
          <w:lang w:val="da-DK"/>
        </w:rPr>
        <w:t xml:space="preserve"> </w:t>
      </w:r>
      <w:r w:rsidR="00B71ACE" w:rsidRPr="00B71ACE">
        <w:rPr>
          <w:sz w:val="24"/>
          <w:lang w:val="da-DK"/>
        </w:rPr>
        <w:tab/>
      </w:r>
      <w:r w:rsidRPr="00B71ACE">
        <w:rPr>
          <w:sz w:val="24"/>
          <w:lang w:val="da-DK"/>
        </w:rPr>
        <w:t xml:space="preserve">EUT L 433 I af 22.12.2020, s. 28, ELI: </w:t>
      </w:r>
      <w:hyperlink r:id="rId4" w:history="1">
        <w:r w:rsidRPr="00B71ACE">
          <w:rPr>
            <w:rStyle w:val="Hyperlink"/>
            <w:sz w:val="24"/>
            <w:lang w:val="da-DK"/>
          </w:rPr>
          <w:t>http://data.europa.eu/eli/agree_interinstit/2020/1222/oj</w:t>
        </w:r>
      </w:hyperlink>
      <w:r w:rsidRPr="00B71ACE">
        <w:rPr>
          <w:sz w:val="24"/>
          <w:lang w:val="da-DK"/>
        </w:rPr>
        <w:t>.</w:t>
      </w:r>
    </w:p>
  </w:footnote>
  <w:footnote w:id="5">
    <w:p w14:paraId="7454278E" w14:textId="589DB72C" w:rsidR="00D06DD9" w:rsidRPr="00B71ACE" w:rsidRDefault="00D06DD9" w:rsidP="00B71ACE">
      <w:pPr>
        <w:pStyle w:val="FootnoteText"/>
        <w:ind w:left="567" w:hanging="567"/>
        <w:rPr>
          <w:sz w:val="24"/>
          <w:lang w:val="da-DK"/>
        </w:rPr>
      </w:pPr>
      <w:r w:rsidRPr="00B71ACE">
        <w:rPr>
          <w:rStyle w:val="FootnoteReference"/>
          <w:sz w:val="24"/>
          <w:lang w:val="da-DK"/>
        </w:rPr>
        <w:footnoteRef/>
      </w:r>
      <w:r w:rsidR="00B71ACE" w:rsidRPr="00B71ACE">
        <w:rPr>
          <w:sz w:val="24"/>
          <w:lang w:val="da-DK"/>
        </w:rPr>
        <w:t xml:space="preserve"> </w:t>
      </w:r>
      <w:r w:rsidR="00B71ACE" w:rsidRPr="00B71ACE">
        <w:rPr>
          <w:sz w:val="24"/>
          <w:lang w:val="da-DK"/>
        </w:rPr>
        <w:tab/>
      </w:r>
      <w:r w:rsidRPr="00B71ACE">
        <w:rPr>
          <w:sz w:val="24"/>
          <w:lang w:val="da-DK"/>
        </w:rPr>
        <w:t>Som omhandlet i EGF-forordningens artikel 3.</w:t>
      </w:r>
    </w:p>
  </w:footnote>
  <w:footnote w:id="6">
    <w:p w14:paraId="5B7E5A6F" w14:textId="632B52B7" w:rsidR="00D06DD9" w:rsidRPr="00B71ACE" w:rsidRDefault="00D06DD9" w:rsidP="00B71ACE">
      <w:pPr>
        <w:pStyle w:val="FootnoteText"/>
        <w:ind w:left="567" w:hanging="567"/>
        <w:rPr>
          <w:sz w:val="24"/>
          <w:lang w:val="da-DK"/>
        </w:rPr>
      </w:pPr>
      <w:r w:rsidRPr="00B71ACE">
        <w:rPr>
          <w:rStyle w:val="FootnoteReference"/>
          <w:sz w:val="24"/>
          <w:lang w:val="da-DK"/>
        </w:rPr>
        <w:footnoteRef/>
      </w:r>
      <w:r w:rsidR="00B71ACE" w:rsidRPr="00B71ACE">
        <w:rPr>
          <w:sz w:val="24"/>
          <w:lang w:val="da-DK"/>
        </w:rPr>
        <w:t xml:space="preserve"> </w:t>
      </w:r>
      <w:r w:rsidR="00B71ACE" w:rsidRPr="00B71ACE">
        <w:rPr>
          <w:sz w:val="24"/>
          <w:lang w:val="da-DK"/>
        </w:rPr>
        <w:tab/>
      </w:r>
      <w:r w:rsidRPr="00B71ACE">
        <w:rPr>
          <w:sz w:val="24"/>
          <w:lang w:val="da-DK"/>
        </w:rPr>
        <w:t>FFR-forordningens artikel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C626" w14:textId="77777777" w:rsidR="00D06DD9" w:rsidRPr="00B71ACE" w:rsidRDefault="00D06DD9">
    <w:pPr>
      <w:pStyle w:val="Header"/>
    </w:pPr>
  </w:p>
  <w:p w14:paraId="1E1B6CE9" w14:textId="77777777" w:rsidR="00D06DD9" w:rsidRPr="00B71ACE" w:rsidRDefault="00D06DD9"/>
  <w:p w14:paraId="1D2DD69A" w14:textId="77777777" w:rsidR="00D06DD9" w:rsidRPr="00B71ACE" w:rsidRDefault="00D06D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415B" w14:textId="77777777" w:rsidR="00D06DD9" w:rsidRPr="00B71ACE" w:rsidRDefault="00D06DD9">
    <w:pPr>
      <w:pStyle w:val="Header"/>
    </w:pPr>
  </w:p>
  <w:p w14:paraId="5B04FCAD" w14:textId="77777777" w:rsidR="00D06DD9" w:rsidRPr="00B71ACE" w:rsidRDefault="00D06DD9"/>
  <w:p w14:paraId="695E67AA" w14:textId="77777777" w:rsidR="00D06DD9" w:rsidRPr="00B71ACE" w:rsidRDefault="00D06D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9C80" w14:textId="77777777" w:rsidR="00D06DD9" w:rsidRPr="00B71ACE" w:rsidRDefault="00D06D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2593" w14:textId="77777777" w:rsidR="00064002" w:rsidRPr="00B71AC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F5C6C" w14:textId="77777777" w:rsidR="00064002" w:rsidRPr="00B71AC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1096" w14:textId="77777777" w:rsidR="00064002" w:rsidRPr="00B71A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4258016">
    <w:abstractNumId w:val="9"/>
  </w:num>
  <w:num w:numId="2" w16cid:durableId="1801147385">
    <w:abstractNumId w:val="9"/>
  </w:num>
  <w:num w:numId="3" w16cid:durableId="1293945630">
    <w:abstractNumId w:val="7"/>
  </w:num>
  <w:num w:numId="4" w16cid:durableId="515509549">
    <w:abstractNumId w:val="7"/>
  </w:num>
  <w:num w:numId="5" w16cid:durableId="1150749017">
    <w:abstractNumId w:val="6"/>
  </w:num>
  <w:num w:numId="6" w16cid:durableId="398213502">
    <w:abstractNumId w:val="6"/>
  </w:num>
  <w:num w:numId="7" w16cid:durableId="308679617">
    <w:abstractNumId w:val="5"/>
  </w:num>
  <w:num w:numId="8" w16cid:durableId="245648068">
    <w:abstractNumId w:val="5"/>
  </w:num>
  <w:num w:numId="9" w16cid:durableId="996759734">
    <w:abstractNumId w:val="4"/>
  </w:num>
  <w:num w:numId="10" w16cid:durableId="660894124">
    <w:abstractNumId w:val="4"/>
  </w:num>
  <w:num w:numId="11" w16cid:durableId="751004748">
    <w:abstractNumId w:val="8"/>
  </w:num>
  <w:num w:numId="12" w16cid:durableId="1686130779">
    <w:abstractNumId w:val="8"/>
  </w:num>
  <w:num w:numId="13" w16cid:durableId="577523334">
    <w:abstractNumId w:val="3"/>
  </w:num>
  <w:num w:numId="14" w16cid:durableId="124130452">
    <w:abstractNumId w:val="3"/>
  </w:num>
  <w:num w:numId="15" w16cid:durableId="2110347520">
    <w:abstractNumId w:val="2"/>
  </w:num>
  <w:num w:numId="16" w16cid:durableId="550966977">
    <w:abstractNumId w:val="2"/>
  </w:num>
  <w:num w:numId="17" w16cid:durableId="1114520716">
    <w:abstractNumId w:val="1"/>
  </w:num>
  <w:num w:numId="18" w16cid:durableId="904488871">
    <w:abstractNumId w:val="1"/>
  </w:num>
  <w:num w:numId="19" w16cid:durableId="1983844512">
    <w:abstractNumId w:val="0"/>
  </w:num>
  <w:num w:numId="20" w16cid:durableId="1318151369">
    <w:abstractNumId w:val="0"/>
  </w:num>
  <w:num w:numId="21" w16cid:durableId="2125267426">
    <w:abstractNumId w:val="9"/>
  </w:num>
  <w:num w:numId="22" w16cid:durableId="23361731">
    <w:abstractNumId w:val="7"/>
  </w:num>
  <w:num w:numId="23" w16cid:durableId="789669633">
    <w:abstractNumId w:val="6"/>
  </w:num>
  <w:num w:numId="24" w16cid:durableId="749355775">
    <w:abstractNumId w:val="5"/>
  </w:num>
  <w:num w:numId="25" w16cid:durableId="813762303">
    <w:abstractNumId w:val="4"/>
  </w:num>
  <w:num w:numId="26" w16cid:durableId="276067310">
    <w:abstractNumId w:val="8"/>
  </w:num>
  <w:num w:numId="27" w16cid:durableId="1336767951">
    <w:abstractNumId w:val="3"/>
  </w:num>
  <w:num w:numId="28" w16cid:durableId="1235043955">
    <w:abstractNumId w:val="2"/>
  </w:num>
  <w:num w:numId="29" w16cid:durableId="1363825799">
    <w:abstractNumId w:val="1"/>
  </w:num>
  <w:num w:numId="30" w16cid:durableId="2027443689">
    <w:abstractNumId w:val="0"/>
  </w:num>
  <w:num w:numId="31" w16cid:durableId="148714894">
    <w:abstractNumId w:val="9"/>
  </w:num>
  <w:num w:numId="32" w16cid:durableId="2138526462">
    <w:abstractNumId w:val="7"/>
  </w:num>
  <w:num w:numId="33" w16cid:durableId="1232621768">
    <w:abstractNumId w:val="6"/>
  </w:num>
  <w:num w:numId="34" w16cid:durableId="2010133184">
    <w:abstractNumId w:val="5"/>
  </w:num>
  <w:num w:numId="35" w16cid:durableId="1993368115">
    <w:abstractNumId w:val="4"/>
  </w:num>
  <w:num w:numId="36" w16cid:durableId="2123263714">
    <w:abstractNumId w:val="8"/>
  </w:num>
  <w:num w:numId="37" w16cid:durableId="1800151528">
    <w:abstractNumId w:val="3"/>
  </w:num>
  <w:num w:numId="38" w16cid:durableId="44960075">
    <w:abstractNumId w:val="2"/>
  </w:num>
  <w:num w:numId="39" w16cid:durableId="2118478137">
    <w:abstractNumId w:val="1"/>
  </w:num>
  <w:num w:numId="40" w16cid:durableId="153910334">
    <w:abstractNumId w:val="0"/>
  </w:num>
  <w:num w:numId="41" w16cid:durableId="807429740">
    <w:abstractNumId w:val="10"/>
  </w:num>
  <w:num w:numId="42" w16cid:durableId="2041860213">
    <w:abstractNumId w:val="10"/>
  </w:num>
  <w:num w:numId="43" w16cid:durableId="1962613478">
    <w:abstractNumId w:val="10"/>
  </w:num>
  <w:num w:numId="44" w16cid:durableId="858928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DA"/>
    <w:docVar w:name="dvnumam" w:val="0"/>
    <w:docVar w:name="dvpe" w:val="784.477"/>
    <w:docVar w:name="dvrapporteur" w:val="Ordfører: "/>
    <w:docVar w:name="dvtitre" w:val="Europa-Parlamentets beslutning af xx.xx 2026 om forslag til Europa-Parlamentets og Rådets afgørelse om mobilisering af Den Europæiske Fond for Tilpasning til Globaliseringen for Afskedigede Arbejdstagere på baggrund af en ansøgning fra Belgien (EGF/2025/007 BE/Casa)(COM(2026)0003 – C10-0025/2026 – 2026/0038(BUD))"/>
  </w:docVars>
  <w:rsids>
    <w:rsidRoot w:val="00602EFE"/>
    <w:rsid w:val="00002272"/>
    <w:rsid w:val="00064002"/>
    <w:rsid w:val="000677B9"/>
    <w:rsid w:val="000831BA"/>
    <w:rsid w:val="000A42CC"/>
    <w:rsid w:val="000E7DD9"/>
    <w:rsid w:val="0010095E"/>
    <w:rsid w:val="00115B33"/>
    <w:rsid w:val="00125B37"/>
    <w:rsid w:val="00187494"/>
    <w:rsid w:val="001F32AE"/>
    <w:rsid w:val="002767FF"/>
    <w:rsid w:val="002A6E1C"/>
    <w:rsid w:val="002B18FE"/>
    <w:rsid w:val="002B5493"/>
    <w:rsid w:val="002C1A02"/>
    <w:rsid w:val="002F3FD9"/>
    <w:rsid w:val="00343214"/>
    <w:rsid w:val="00361C00"/>
    <w:rsid w:val="00395FA1"/>
    <w:rsid w:val="003E15D4"/>
    <w:rsid w:val="00411CCE"/>
    <w:rsid w:val="0041666E"/>
    <w:rsid w:val="00421060"/>
    <w:rsid w:val="00471C19"/>
    <w:rsid w:val="004867E3"/>
    <w:rsid w:val="00494A28"/>
    <w:rsid w:val="004B206C"/>
    <w:rsid w:val="004C0004"/>
    <w:rsid w:val="004C5D52"/>
    <w:rsid w:val="0050519A"/>
    <w:rsid w:val="005072A1"/>
    <w:rsid w:val="00514517"/>
    <w:rsid w:val="00545827"/>
    <w:rsid w:val="00560270"/>
    <w:rsid w:val="005C2568"/>
    <w:rsid w:val="005F1B17"/>
    <w:rsid w:val="00602EFE"/>
    <w:rsid w:val="006037C0"/>
    <w:rsid w:val="006631B6"/>
    <w:rsid w:val="00680577"/>
    <w:rsid w:val="006F74FA"/>
    <w:rsid w:val="00731ADD"/>
    <w:rsid w:val="00734777"/>
    <w:rsid w:val="00747932"/>
    <w:rsid w:val="00751A4A"/>
    <w:rsid w:val="00756632"/>
    <w:rsid w:val="00762C74"/>
    <w:rsid w:val="007759A8"/>
    <w:rsid w:val="00786EC0"/>
    <w:rsid w:val="007D1690"/>
    <w:rsid w:val="007E22AD"/>
    <w:rsid w:val="00805472"/>
    <w:rsid w:val="00817416"/>
    <w:rsid w:val="00842779"/>
    <w:rsid w:val="00865F67"/>
    <w:rsid w:val="00881A7B"/>
    <w:rsid w:val="008840E5"/>
    <w:rsid w:val="00887B3E"/>
    <w:rsid w:val="008C2AC6"/>
    <w:rsid w:val="00930C23"/>
    <w:rsid w:val="0093193B"/>
    <w:rsid w:val="009509D8"/>
    <w:rsid w:val="00950B64"/>
    <w:rsid w:val="00981893"/>
    <w:rsid w:val="009E4728"/>
    <w:rsid w:val="00A1687D"/>
    <w:rsid w:val="00A240F7"/>
    <w:rsid w:val="00A43E52"/>
    <w:rsid w:val="00A4678D"/>
    <w:rsid w:val="00A778C7"/>
    <w:rsid w:val="00A923A1"/>
    <w:rsid w:val="00AA5B47"/>
    <w:rsid w:val="00AB0901"/>
    <w:rsid w:val="00AB441E"/>
    <w:rsid w:val="00AB6293"/>
    <w:rsid w:val="00AE0928"/>
    <w:rsid w:val="00AF3B82"/>
    <w:rsid w:val="00B01334"/>
    <w:rsid w:val="00B12E95"/>
    <w:rsid w:val="00B22876"/>
    <w:rsid w:val="00B558F0"/>
    <w:rsid w:val="00B67137"/>
    <w:rsid w:val="00B71ACE"/>
    <w:rsid w:val="00B71DC0"/>
    <w:rsid w:val="00BD48FE"/>
    <w:rsid w:val="00BD7BD8"/>
    <w:rsid w:val="00BE6ADC"/>
    <w:rsid w:val="00C05BFE"/>
    <w:rsid w:val="00C23CD4"/>
    <w:rsid w:val="00C3043B"/>
    <w:rsid w:val="00C61C0C"/>
    <w:rsid w:val="00C941CB"/>
    <w:rsid w:val="00CC2357"/>
    <w:rsid w:val="00CF071A"/>
    <w:rsid w:val="00D058B8"/>
    <w:rsid w:val="00D06DD9"/>
    <w:rsid w:val="00D47CD1"/>
    <w:rsid w:val="00D56C11"/>
    <w:rsid w:val="00D834A0"/>
    <w:rsid w:val="00D872DF"/>
    <w:rsid w:val="00D91E21"/>
    <w:rsid w:val="00DA7FCD"/>
    <w:rsid w:val="00E365E1"/>
    <w:rsid w:val="00E43954"/>
    <w:rsid w:val="00E820A4"/>
    <w:rsid w:val="00EB006A"/>
    <w:rsid w:val="00EB4772"/>
    <w:rsid w:val="00ED169E"/>
    <w:rsid w:val="00ED4235"/>
    <w:rsid w:val="00ED6C8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997C6"/>
  <w15:chartTrackingRefBased/>
  <w15:docId w15:val="{03597A9E-F3B4-4F3A-9C00-9A3C4D37A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06DD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06DD9"/>
    <w:pPr>
      <w:keepNext/>
      <w:spacing w:after="480"/>
      <w:jc w:val="center"/>
    </w:pPr>
    <w:rPr>
      <w:rFonts w:ascii="Arial" w:hAnsi="Arial" w:cs="Arial"/>
      <w:b/>
    </w:rPr>
  </w:style>
  <w:style w:type="paragraph" w:customStyle="1" w:styleId="NormalHanging12a">
    <w:name w:val="NormalHanging12a"/>
    <w:basedOn w:val="Normal"/>
    <w:link w:val="NormalHanging12aChar"/>
    <w:rsid w:val="00D06DD9"/>
    <w:pPr>
      <w:spacing w:after="240"/>
      <w:ind w:left="567" w:hanging="567"/>
    </w:pPr>
  </w:style>
  <w:style w:type="paragraph" w:styleId="Header">
    <w:name w:val="header"/>
    <w:basedOn w:val="Normal"/>
    <w:link w:val="HeaderChar"/>
    <w:rsid w:val="00D06DD9"/>
    <w:pPr>
      <w:tabs>
        <w:tab w:val="center" w:pos="4513"/>
        <w:tab w:val="right" w:pos="9026"/>
      </w:tabs>
    </w:pPr>
  </w:style>
  <w:style w:type="character" w:customStyle="1" w:styleId="HeaderChar">
    <w:name w:val="Header Char"/>
    <w:basedOn w:val="DefaultParagraphFont"/>
    <w:link w:val="Header"/>
    <w:rsid w:val="00D06DD9"/>
    <w:rPr>
      <w:sz w:val="24"/>
      <w:lang w:val="da-DK"/>
    </w:rPr>
  </w:style>
  <w:style w:type="paragraph" w:customStyle="1" w:styleId="EPFooter">
    <w:name w:val="EPFooter"/>
    <w:basedOn w:val="Normal"/>
    <w:rsid w:val="00D06DD9"/>
    <w:pPr>
      <w:tabs>
        <w:tab w:val="center" w:pos="4535"/>
        <w:tab w:val="right" w:pos="9071"/>
      </w:tabs>
      <w:spacing w:before="240" w:after="240"/>
    </w:pPr>
    <w:rPr>
      <w:color w:val="010000"/>
      <w:sz w:val="22"/>
    </w:rPr>
  </w:style>
  <w:style w:type="paragraph" w:customStyle="1" w:styleId="EPComma">
    <w:name w:val="EPComma"/>
    <w:basedOn w:val="Normal"/>
    <w:rsid w:val="00D06DD9"/>
    <w:pPr>
      <w:spacing w:before="480" w:after="240"/>
    </w:pPr>
  </w:style>
  <w:style w:type="character" w:styleId="Hyperlink">
    <w:name w:val="Hyperlink"/>
    <w:basedOn w:val="DefaultParagraphFont"/>
    <w:uiPriority w:val="99"/>
    <w:rsid w:val="00D06DD9"/>
    <w:rPr>
      <w:color w:val="0563C1" w:themeColor="hyperlink"/>
      <w:u w:val="single"/>
    </w:rPr>
  </w:style>
  <w:style w:type="character" w:customStyle="1" w:styleId="NormalHanging12aChar">
    <w:name w:val="NormalHanging12a Char"/>
    <w:basedOn w:val="DefaultParagraphFont"/>
    <w:link w:val="NormalHanging12a"/>
    <w:locked/>
    <w:rsid w:val="00D06DD9"/>
    <w:rPr>
      <w:sz w:val="24"/>
      <w:lang w:val="da-DK"/>
    </w:rPr>
  </w:style>
  <w:style w:type="character" w:customStyle="1" w:styleId="PageHeadingChar">
    <w:name w:val="PageHeading Char"/>
    <w:basedOn w:val="DefaultParagraphFont"/>
    <w:link w:val="PageHeading"/>
    <w:locked/>
    <w:rsid w:val="00D06DD9"/>
    <w:rPr>
      <w:rFonts w:ascii="Arial" w:hAnsi="Arial" w:cs="Arial"/>
      <w:b/>
      <w:sz w:val="24"/>
      <w:lang w:val="da-DK"/>
    </w:rPr>
  </w:style>
  <w:style w:type="paragraph" w:customStyle="1" w:styleId="Titreobjet">
    <w:name w:val="Titre objet"/>
    <w:basedOn w:val="Normal"/>
    <w:next w:val="Normal"/>
    <w:rsid w:val="00D06DD9"/>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D06DD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06DD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06DD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06DD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06DD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06DD9"/>
    <w:pPr>
      <w:widowControl/>
      <w:tabs>
        <w:tab w:val="left" w:pos="4252"/>
      </w:tabs>
    </w:pPr>
    <w:rPr>
      <w:rFonts w:eastAsiaTheme="minorHAnsi"/>
      <w:i/>
      <w:szCs w:val="22"/>
      <w:lang w:eastAsia="en-US"/>
    </w:rPr>
  </w:style>
  <w:style w:type="paragraph" w:customStyle="1" w:styleId="Titrearticle">
    <w:name w:val="Titre article"/>
    <w:basedOn w:val="Normal"/>
    <w:next w:val="Normal"/>
    <w:rsid w:val="00D06DD9"/>
    <w:pPr>
      <w:keepNext/>
      <w:widowControl/>
      <w:spacing w:before="360" w:after="120"/>
      <w:jc w:val="center"/>
    </w:pPr>
    <w:rPr>
      <w:rFonts w:eastAsiaTheme="minorHAnsi"/>
      <w:i/>
      <w:szCs w:val="22"/>
      <w:lang w:eastAsia="en-US"/>
    </w:rPr>
  </w:style>
  <w:style w:type="paragraph" w:styleId="Revision">
    <w:name w:val="Revision"/>
    <w:hidden/>
    <w:uiPriority w:val="99"/>
    <w:semiHidden/>
    <w:rsid w:val="00C3043B"/>
    <w:rPr>
      <w:sz w:val="24"/>
      <w:lang w:val="da-DK"/>
    </w:rPr>
  </w:style>
  <w:style w:type="character" w:styleId="CommentReference">
    <w:name w:val="annotation reference"/>
    <w:basedOn w:val="DefaultParagraphFont"/>
    <w:rsid w:val="009E4728"/>
    <w:rPr>
      <w:sz w:val="16"/>
      <w:szCs w:val="16"/>
    </w:rPr>
  </w:style>
  <w:style w:type="paragraph" w:styleId="CommentText">
    <w:name w:val="annotation text"/>
    <w:basedOn w:val="Normal"/>
    <w:link w:val="CommentTextChar"/>
    <w:rsid w:val="009E4728"/>
    <w:rPr>
      <w:sz w:val="20"/>
    </w:rPr>
  </w:style>
  <w:style w:type="character" w:customStyle="1" w:styleId="CommentTextChar">
    <w:name w:val="Comment Text Char"/>
    <w:basedOn w:val="DefaultParagraphFont"/>
    <w:link w:val="CommentText"/>
    <w:rsid w:val="009E4728"/>
    <w:rPr>
      <w:lang w:val="da-DK"/>
    </w:rPr>
  </w:style>
  <w:style w:type="paragraph" w:styleId="CommentSubject">
    <w:name w:val="annotation subject"/>
    <w:basedOn w:val="CommentText"/>
    <w:next w:val="CommentText"/>
    <w:link w:val="CommentSubjectChar"/>
    <w:rsid w:val="009E4728"/>
    <w:rPr>
      <w:b/>
      <w:bCs/>
    </w:rPr>
  </w:style>
  <w:style w:type="character" w:customStyle="1" w:styleId="CommentSubjectChar">
    <w:name w:val="Comment Subject Char"/>
    <w:basedOn w:val="CommentTextChar"/>
    <w:link w:val="CommentSubject"/>
    <w:rsid w:val="009E472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1622</Words>
  <Characters>10261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2026-05-13T09:08:00Z</dcterms:created>
  <dcterms:modified xsi:type="dcterms:W3CDTF">2026-05-13T09:08:00Z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P10_TA(2026)0102_</vt:lpwstr>
  </property>
  <property fmtid="{D5CDD505-2E9C-101B-9397-08002B2CF9AE}" pid="4" name="&lt;Type&gt;">
    <vt:lpwstr>RR</vt:lpwstr>
  </property>
</Properties>
</file>