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558A" w14:paraId="7423746A" w14:textId="77777777" w:rsidTr="0010095E">
        <w:trPr>
          <w:trHeight w:hRule="exact" w:val="1418"/>
        </w:trPr>
        <w:tc>
          <w:tcPr>
            <w:tcW w:w="6804" w:type="dxa"/>
            <w:shd w:val="clear" w:color="auto" w:fill="auto"/>
            <w:vAlign w:val="center"/>
          </w:tcPr>
          <w:p w14:paraId="476ADC0D" w14:textId="77777777" w:rsidR="00751A4A" w:rsidRPr="0008558A" w:rsidRDefault="00792467" w:rsidP="0010095E">
            <w:pPr>
              <w:pStyle w:val="EPName"/>
            </w:pPr>
            <w:r w:rsidRPr="0008558A">
              <w:t>Euroopa Parlament</w:t>
            </w:r>
          </w:p>
          <w:p w14:paraId="6988CCCA" w14:textId="77777777" w:rsidR="00751A4A" w:rsidRPr="0008558A" w:rsidRDefault="005F1B17" w:rsidP="005F1B17">
            <w:pPr>
              <w:pStyle w:val="EPTerm"/>
              <w:rPr>
                <w:rStyle w:val="HideTWBExt"/>
                <w:noProof w:val="0"/>
                <w:vanish w:val="0"/>
                <w:color w:val="auto"/>
              </w:rPr>
            </w:pPr>
            <w:r w:rsidRPr="0008558A">
              <w:t>2024</w:t>
            </w:r>
            <w:r w:rsidR="00817416" w:rsidRPr="0008558A">
              <w:t>-202</w:t>
            </w:r>
            <w:r w:rsidRPr="0008558A">
              <w:t>9</w:t>
            </w:r>
          </w:p>
        </w:tc>
        <w:tc>
          <w:tcPr>
            <w:tcW w:w="2268" w:type="dxa"/>
            <w:shd w:val="clear" w:color="auto" w:fill="auto"/>
          </w:tcPr>
          <w:p w14:paraId="40255B11" w14:textId="77777777" w:rsidR="00751A4A" w:rsidRPr="0008558A" w:rsidRDefault="00187494" w:rsidP="0010095E">
            <w:pPr>
              <w:pStyle w:val="EPLogo"/>
            </w:pPr>
            <w:r w:rsidRPr="0008558A">
              <w:rPr>
                <w:noProof/>
                <w:lang w:eastAsia="ja-JP"/>
              </w:rPr>
              <w:drawing>
                <wp:inline distT="0" distB="0" distL="0" distR="0" wp14:anchorId="2F5EE534" wp14:editId="668BC8D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F35ED2A" w14:textId="77777777" w:rsidR="00D058B8" w:rsidRPr="0008558A" w:rsidRDefault="00D058B8" w:rsidP="004C5D52">
      <w:pPr>
        <w:pStyle w:val="LineTop"/>
      </w:pPr>
    </w:p>
    <w:p w14:paraId="22D8120B" w14:textId="77777777" w:rsidR="00680577" w:rsidRPr="0008558A" w:rsidRDefault="00792467" w:rsidP="00680577">
      <w:pPr>
        <w:pStyle w:val="EPBodyTA1"/>
      </w:pPr>
      <w:r w:rsidRPr="0008558A">
        <w:t>VASTUVÕETUD TEKSTID</w:t>
      </w:r>
    </w:p>
    <w:p w14:paraId="5638E2CC" w14:textId="77777777" w:rsidR="00D058B8" w:rsidRPr="0008558A" w:rsidRDefault="00D058B8" w:rsidP="00D058B8">
      <w:pPr>
        <w:pStyle w:val="LineBottom"/>
      </w:pPr>
    </w:p>
    <w:p w14:paraId="5F618BCB" w14:textId="71710A5E" w:rsidR="00792467" w:rsidRPr="0008558A" w:rsidRDefault="00792467" w:rsidP="00792467">
      <w:pPr>
        <w:pStyle w:val="ATHeading1"/>
      </w:pPr>
      <w:bookmarkStart w:id="0" w:name="TANumber"/>
      <w:r w:rsidRPr="0008558A">
        <w:t>P10_TA(2026)0</w:t>
      </w:r>
      <w:r w:rsidR="009A2302" w:rsidRPr="0008558A">
        <w:t>102</w:t>
      </w:r>
      <w:bookmarkEnd w:id="0"/>
    </w:p>
    <w:p w14:paraId="3C3CC2DD" w14:textId="77777777" w:rsidR="00792467" w:rsidRPr="0008558A" w:rsidRDefault="00792467" w:rsidP="00792467">
      <w:pPr>
        <w:pStyle w:val="ATHeading2"/>
      </w:pPr>
      <w:bookmarkStart w:id="1" w:name="title"/>
      <w:r w:rsidRPr="0008558A">
        <w:t>Koondatud töötajate toetuseks loodud Globaliseerumisega Kohanemise Euroopa Fondi kasutuselevõtmine: Belgia taotlus – EGF/2025/007 BE/Casa</w:t>
      </w:r>
      <w:bookmarkEnd w:id="1"/>
    </w:p>
    <w:p w14:paraId="020C6325" w14:textId="77777777" w:rsidR="00792467" w:rsidRPr="0008558A" w:rsidRDefault="00792467" w:rsidP="00792467">
      <w:pPr>
        <w:rPr>
          <w:i/>
          <w:vanish/>
        </w:rPr>
      </w:pPr>
      <w:r w:rsidRPr="0008558A">
        <w:rPr>
          <w:i/>
        </w:rPr>
        <w:fldChar w:fldCharType="begin"/>
      </w:r>
      <w:r w:rsidRPr="0008558A">
        <w:rPr>
          <w:i/>
        </w:rPr>
        <w:instrText xml:space="preserve"> TC"(</w:instrText>
      </w:r>
      <w:bookmarkStart w:id="2" w:name="DocNumber"/>
      <w:r w:rsidRPr="0008558A">
        <w:rPr>
          <w:i/>
        </w:rPr>
        <w:instrText>A10-0061/2026</w:instrText>
      </w:r>
      <w:bookmarkEnd w:id="2"/>
      <w:r w:rsidRPr="0008558A">
        <w:rPr>
          <w:i/>
        </w:rPr>
        <w:instrText xml:space="preserve"> - Raportöör: Hélder Sousa Silva)"\l3 \n&gt; \* MERGEFORMAT </w:instrText>
      </w:r>
      <w:r w:rsidRPr="0008558A">
        <w:rPr>
          <w:i/>
        </w:rPr>
        <w:fldChar w:fldCharType="end"/>
      </w:r>
    </w:p>
    <w:p w14:paraId="3044212A" w14:textId="77777777" w:rsidR="00792467" w:rsidRPr="0008558A" w:rsidRDefault="00792467" w:rsidP="00792467">
      <w:pPr>
        <w:rPr>
          <w:vanish/>
        </w:rPr>
      </w:pPr>
      <w:bookmarkStart w:id="3" w:name="Commission"/>
      <w:r w:rsidRPr="0008558A">
        <w:rPr>
          <w:vanish/>
        </w:rPr>
        <w:t>Eelarvekomisjon</w:t>
      </w:r>
      <w:bookmarkEnd w:id="3"/>
    </w:p>
    <w:p w14:paraId="40B90DDE" w14:textId="77777777" w:rsidR="00792467" w:rsidRPr="0008558A" w:rsidRDefault="00792467" w:rsidP="00792467">
      <w:pPr>
        <w:rPr>
          <w:vanish/>
        </w:rPr>
      </w:pPr>
      <w:bookmarkStart w:id="4" w:name="PE"/>
      <w:r w:rsidRPr="0008558A">
        <w:rPr>
          <w:vanish/>
        </w:rPr>
        <w:t>PE784.477</w:t>
      </w:r>
      <w:bookmarkEnd w:id="4"/>
    </w:p>
    <w:p w14:paraId="1655E4AD" w14:textId="42ACF542" w:rsidR="00792467" w:rsidRPr="0008558A" w:rsidRDefault="00792467" w:rsidP="00792467">
      <w:pPr>
        <w:pStyle w:val="ATHeading3"/>
      </w:pPr>
      <w:bookmarkStart w:id="5" w:name="Sujet"/>
      <w:r w:rsidRPr="0008558A">
        <w:t xml:space="preserve">Euroopa Parlamendi </w:t>
      </w:r>
      <w:r w:rsidR="00FC695A" w:rsidRPr="0008558A">
        <w:t>26. märtsi</w:t>
      </w:r>
      <w:r w:rsidRPr="0008558A">
        <w:t xml:space="preserve"> 2026. aasta resolutsioon</w:t>
      </w:r>
      <w:r w:rsidR="00C3768E" w:rsidRPr="0008558A">
        <w:t>,</w:t>
      </w:r>
      <w:r w:rsidRPr="0008558A">
        <w:t xml:space="preserve"> mis käsitleb ettepanekut võtta vastu Euroopa Parlamendi ja nõukogu otsus koondatud töötajate toetuseks loodud Globaliseerumisega Kohanemise Euroopa Fondi kasutuselevõtmise kohta (Belgia taotlus – EGF/2025/007 BE/Casa)</w:t>
      </w:r>
      <w:bookmarkEnd w:id="5"/>
      <w:r w:rsidRPr="0008558A">
        <w:t xml:space="preserve"> </w:t>
      </w:r>
      <w:bookmarkStart w:id="6" w:name="References"/>
      <w:r w:rsidRPr="0008558A">
        <w:t>(COM(2026)0003 – C10-0025/2026 – 2026/0038(BUD))</w:t>
      </w:r>
      <w:bookmarkEnd w:id="6"/>
    </w:p>
    <w:p w14:paraId="161A88C5" w14:textId="77777777" w:rsidR="00677278" w:rsidRPr="0008558A" w:rsidRDefault="00677278" w:rsidP="00677278">
      <w:pPr>
        <w:pStyle w:val="EPComma"/>
        <w:rPr>
          <w:noProof/>
        </w:rPr>
      </w:pPr>
      <w:r w:rsidRPr="0008558A">
        <w:rPr>
          <w:i/>
        </w:rPr>
        <w:t>Euroopa Parlament</w:t>
      </w:r>
      <w:r w:rsidRPr="0008558A">
        <w:t>,</w:t>
      </w:r>
    </w:p>
    <w:p w14:paraId="12FD9DF9" w14:textId="77777777" w:rsidR="00677278" w:rsidRPr="0008558A" w:rsidRDefault="00677278" w:rsidP="00677278">
      <w:pPr>
        <w:pStyle w:val="NormalHanging12a"/>
        <w:rPr>
          <w:noProof/>
        </w:rPr>
      </w:pPr>
      <w:r w:rsidRPr="0008558A">
        <w:t>–</w:t>
      </w:r>
      <w:r w:rsidRPr="0008558A">
        <w:tab/>
        <w:t>võttes arvesse komisjoni ettepanekut Euroopa Parlamendile ja nõukogule (COM(2026)0003 – C10-0025/2026),</w:t>
      </w:r>
    </w:p>
    <w:p w14:paraId="26A22579" w14:textId="3E12D226" w:rsidR="00677278" w:rsidRPr="0008558A" w:rsidRDefault="00677278" w:rsidP="00677278">
      <w:pPr>
        <w:pStyle w:val="NormalHanging12a"/>
      </w:pPr>
      <w:r w:rsidRPr="0008558A">
        <w:t>–</w:t>
      </w:r>
      <w:r w:rsidRPr="0008558A">
        <w:tab/>
        <w:t>võttes arvesse Euroopa Parlamendi ja nõukogu 28. aprilli 2021. aasta määrust (EL) 2021/691, millega luuakse Globaliseerumisega Kohanemise Euroopa Fond (EGF) koondatud töötajate toetuseks ja tunnistatakse kehtetuks määrus (EL) nr 1309/2013</w:t>
      </w:r>
      <w:r w:rsidRPr="0008558A">
        <w:rPr>
          <w:vertAlign w:val="superscript"/>
        </w:rPr>
        <w:footnoteReference w:id="1"/>
      </w:r>
      <w:r w:rsidRPr="0008558A">
        <w:t xml:space="preserve"> (edaspidi „</w:t>
      </w:r>
      <w:proofErr w:type="spellStart"/>
      <w:r w:rsidRPr="0008558A">
        <w:t>EGFi</w:t>
      </w:r>
      <w:proofErr w:type="spellEnd"/>
      <w:r w:rsidRPr="0008558A">
        <w:t xml:space="preserve"> määrus“),</w:t>
      </w:r>
    </w:p>
    <w:p w14:paraId="35846425" w14:textId="7314DC4F" w:rsidR="00677278" w:rsidRPr="0008558A" w:rsidRDefault="00677278" w:rsidP="00677278">
      <w:pPr>
        <w:pStyle w:val="NormalHanging12a"/>
        <w:rPr>
          <w:noProof/>
        </w:rPr>
      </w:pPr>
      <w:r w:rsidRPr="0008558A">
        <w:t>–</w:t>
      </w:r>
      <w:r w:rsidRPr="0008558A">
        <w:tab/>
        <w:t>võttes arvesse nõukogu 17. detsembri 2020. aasta määrust (EL, Euratom) 2020/2093, millega määratakse kindlaks mitmeaastane finantsraamistik aastateks 2021–2027 (edaspidi „mitmeaastase finantsraamistiku määrus“)</w:t>
      </w:r>
      <w:r w:rsidRPr="0008558A">
        <w:rPr>
          <w:noProof/>
          <w:vertAlign w:val="superscript"/>
        </w:rPr>
        <w:footnoteReference w:id="2"/>
      </w:r>
      <w:r w:rsidRPr="0008558A">
        <w:t>, mida on muudetud määrusega (EL, Euratom) 2024/765</w:t>
      </w:r>
      <w:r w:rsidRPr="0008558A">
        <w:rPr>
          <w:noProof/>
          <w:vertAlign w:val="superscript"/>
        </w:rPr>
        <w:footnoteReference w:id="3"/>
      </w:r>
      <w:r w:rsidRPr="0008558A">
        <w:t>, eriti selle artiklit 8,</w:t>
      </w:r>
    </w:p>
    <w:p w14:paraId="33029EB8" w14:textId="68631E57" w:rsidR="00677278" w:rsidRPr="0008558A" w:rsidRDefault="00677278" w:rsidP="00677278">
      <w:pPr>
        <w:pStyle w:val="NormalHanging12a"/>
        <w:rPr>
          <w:noProof/>
        </w:rPr>
      </w:pPr>
      <w:r w:rsidRPr="0008558A">
        <w:t>–</w:t>
      </w:r>
      <w:r w:rsidRPr="0008558A">
        <w:tab/>
        <w:t xml:space="preserve">võttes arvesse 16. detsembri 2020. aasta institutsioonidevahelist kokkulepet Euroopa Parlamendi, Euroopa Liidu Nõukogu ja Euroopa Komisjoni vahel, mis käsitleb eelarvedistsipliini, eelarvealast koostööd ning usaldusväärset finantsjuhtimist, samuti uusi omavahendeid, sealhulgas uute omavahendite kasutuselevõtmise suunas liikumise </w:t>
      </w:r>
      <w:r w:rsidRPr="0008558A">
        <w:lastRenderedPageBreak/>
        <w:t>tegevuskava</w:t>
      </w:r>
      <w:r w:rsidRPr="0008558A">
        <w:rPr>
          <w:rStyle w:val="FootnoteReference"/>
          <w:noProof/>
        </w:rPr>
        <w:footnoteReference w:id="4"/>
      </w:r>
      <w:r w:rsidRPr="0008558A">
        <w:t>, eriti selle punkti 9,</w:t>
      </w:r>
    </w:p>
    <w:p w14:paraId="068FCEB7" w14:textId="77777777" w:rsidR="00677278" w:rsidRPr="0008558A" w:rsidRDefault="00677278" w:rsidP="00677278">
      <w:pPr>
        <w:pStyle w:val="NormalHanging12a"/>
      </w:pPr>
      <w:r w:rsidRPr="0008558A">
        <w:t>–</w:t>
      </w:r>
      <w:r w:rsidRPr="0008558A">
        <w:tab/>
        <w:t>võttes arvesse Euroopa sotsiaalõiguste sammast,</w:t>
      </w:r>
    </w:p>
    <w:p w14:paraId="55F9FC19" w14:textId="77777777" w:rsidR="00677278" w:rsidRPr="0008558A" w:rsidRDefault="00677278" w:rsidP="00677278">
      <w:pPr>
        <w:pStyle w:val="NormalHanging12a"/>
      </w:pPr>
      <w:r w:rsidRPr="0008558A">
        <w:t>–</w:t>
      </w:r>
      <w:r w:rsidRPr="0008558A">
        <w:tab/>
        <w:t>võttes arvesse tööhõive- ja sotsiaalkomisjoni kirja,</w:t>
      </w:r>
    </w:p>
    <w:p w14:paraId="72493F11" w14:textId="77777777" w:rsidR="00677278" w:rsidRPr="0008558A" w:rsidRDefault="00677278" w:rsidP="00677278">
      <w:pPr>
        <w:pStyle w:val="NormalHanging12a"/>
      </w:pPr>
      <w:r w:rsidRPr="0008558A">
        <w:t>–</w:t>
      </w:r>
      <w:r w:rsidRPr="0008558A">
        <w:tab/>
        <w:t>võttes arvesse eelarvekomisjoni raportit (A10-0061/2026),</w:t>
      </w:r>
    </w:p>
    <w:p w14:paraId="7F057645" w14:textId="77777777" w:rsidR="00677278" w:rsidRPr="0008558A" w:rsidRDefault="00677278" w:rsidP="00677278">
      <w:pPr>
        <w:pStyle w:val="NormalHanging12a"/>
        <w:rPr>
          <w:noProof/>
        </w:rPr>
      </w:pPr>
      <w:r w:rsidRPr="0008558A">
        <w:t>A.</w:t>
      </w:r>
      <w:r w:rsidRPr="0008558A">
        <w:tab/>
        <w:t>arvestades, et liit on loonud õigusnormid ja eelarvevahendid, et anda lisaabi töötajatele, kes kannatavad maailmakaubanduses toimunud ulatuslike struktuursete sündmuste ja muutuste tagajärgede tõttu, ning aidata neil tööturule tagasi pöörduda; arvestades, et seda abi antakse töötajatele makstava rahalise toetuse kaudu;</w:t>
      </w:r>
    </w:p>
    <w:p w14:paraId="0F972217" w14:textId="0254C11B" w:rsidR="00677278" w:rsidRPr="0008558A" w:rsidRDefault="00677278" w:rsidP="00677278">
      <w:pPr>
        <w:pStyle w:val="NormalHanging12a"/>
      </w:pPr>
      <w:r w:rsidRPr="0008558A">
        <w:t>B.</w:t>
      </w:r>
      <w:r w:rsidRPr="0008558A">
        <w:tab/>
        <w:t>arvestades, et Belgia esitas taotluse EGF/2025/007 BE/Casa, et saada EGFist rahalist toetust seoses 416 koondamisega</w:t>
      </w:r>
      <w:r w:rsidRPr="0008558A">
        <w:rPr>
          <w:vertAlign w:val="superscript"/>
        </w:rPr>
        <w:footnoteReference w:id="5"/>
      </w:r>
      <w:r w:rsidRPr="0008558A">
        <w:t xml:space="preserve"> Belgias Casa International NVs (Casa) NACE Revision 2 osa 47 (jaekaubandus, v.a mootorsõidukid ja mootorrattad) ja osa 52 (laondus ja veondust abistavad tegevusalad) alla kuuluvates majandussektorites Antwerpeni provintsis (BE21) Flandrias vaatlusperioodil 6. märtsist 2025 kuni 6. juulini 2025;</w:t>
      </w:r>
    </w:p>
    <w:p w14:paraId="34038AEC" w14:textId="0880ECC6" w:rsidR="00677278" w:rsidRPr="0008558A" w:rsidRDefault="00677278" w:rsidP="00677278">
      <w:pPr>
        <w:pStyle w:val="NormalHanging12a"/>
      </w:pPr>
      <w:r w:rsidRPr="0008558A">
        <w:t>C.</w:t>
      </w:r>
      <w:r w:rsidRPr="0008558A">
        <w:tab/>
        <w:t>arvestades, et taotlus põhineb EGFi määruse artikli 4 lõike 2 punktis a sätestatud sekkumiskriteeriumidel; arvestades, et 257 koondamist on seotud ettevõttega Casa International NV (jaekaubandus), millel on 65 jaemüügipunkti Belgia eri paigus, ning 159 koondamist on seotud ettevõttega Casa Logistics NV (laondus), mis vastutab kauba ladustamise ja nendesse müügipunktidesse tarnimise eest;</w:t>
      </w:r>
    </w:p>
    <w:p w14:paraId="06F54CEA" w14:textId="77777777" w:rsidR="00677278" w:rsidRPr="0008558A" w:rsidRDefault="00677278" w:rsidP="00677278">
      <w:pPr>
        <w:pStyle w:val="NormalHanging12a"/>
        <w:rPr>
          <w:noProof/>
        </w:rPr>
      </w:pPr>
      <w:r w:rsidRPr="0008558A">
        <w:t>D.</w:t>
      </w:r>
      <w:r w:rsidRPr="0008558A">
        <w:tab/>
        <w:t>arvestades, et Casa esitas 6. märtsil 2025 pankrotiavalduse; arvestades, et Belgias on pankrottide arv alates 2022. aastast olnud tõusuteel, eelkõige jaemüügisektoris, kus toimuvad põhjalikud struktuursed muutused, mis on tingitud e-kaubanduse kasvust ja tarbimisharjumuste muutumisest; arvestades, et 67,5 % selle juhtumiga seotud tööjõust moodustavad naised; rõhutab seetõttu, et EGFi toetusmeetmetes tuleks arvesse võtta konkreetseid vajadusi ja takistusi, millega need naised tööturule naasmisel kokku puutuvad;</w:t>
      </w:r>
    </w:p>
    <w:p w14:paraId="0B9463EF" w14:textId="77777777" w:rsidR="00677278" w:rsidRPr="0008558A" w:rsidRDefault="00677278" w:rsidP="00677278">
      <w:pPr>
        <w:pStyle w:val="NormalHanging12a"/>
      </w:pPr>
      <w:r w:rsidRPr="0008558A">
        <w:t>E.</w:t>
      </w:r>
      <w:r w:rsidRPr="0008558A">
        <w:tab/>
        <w:t>arvestades, et VDAB pakub meetmete riiklikku eel- ja kaasrahastamist;</w:t>
      </w:r>
    </w:p>
    <w:p w14:paraId="56CA80C5" w14:textId="77777777" w:rsidR="00677278" w:rsidRPr="0008558A" w:rsidRDefault="00677278" w:rsidP="00677278">
      <w:pPr>
        <w:pStyle w:val="NormalHanging12a"/>
      </w:pPr>
      <w:r w:rsidRPr="0008558A">
        <w:t>F.</w:t>
      </w:r>
      <w:r w:rsidRPr="0008558A">
        <w:tab/>
        <w:t>arvestades, et asjaomased ettevõtjad on täitnud liidu ja liikmesriigi õigusaktides sätestatud nõuded kollektiivse koondamise kohta;</w:t>
      </w:r>
    </w:p>
    <w:p w14:paraId="31BAE134" w14:textId="77777777" w:rsidR="00677278" w:rsidRPr="0008558A" w:rsidRDefault="00677278" w:rsidP="00677278">
      <w:pPr>
        <w:pStyle w:val="NormalHanging12a"/>
      </w:pPr>
      <w:r w:rsidRPr="0008558A">
        <w:t>G.</w:t>
      </w:r>
      <w:r w:rsidRPr="0008558A">
        <w:tab/>
        <w:t>arvestades, et EGFi rahalist toetust tuleks peamiselt kasutada aktiivseteks tööturupoliitika meetmeteks ja individuaalseteks teenusteks, mille eesmärk on aidata toetusesaajatel kiiresti tööturule naasta, pakkudes neile samal ajal oskuste jaoks koolitust, et hõlbustada nende juurdepääsu tööturule;</w:t>
      </w:r>
    </w:p>
    <w:p w14:paraId="695E6759" w14:textId="550811BE" w:rsidR="00677278" w:rsidRPr="0008558A" w:rsidRDefault="00677278" w:rsidP="00677278">
      <w:pPr>
        <w:pStyle w:val="NormalHanging12a"/>
      </w:pPr>
      <w:r w:rsidRPr="0008558A">
        <w:t>H.</w:t>
      </w:r>
      <w:r w:rsidRPr="0008558A">
        <w:tab/>
        <w:t>arvestades, et EGFi toetus ei tohi ületada iga-aastast maksimaalset summat, mis on 30 miljonit eurot (2018. aasta hindades)</w:t>
      </w:r>
      <w:r w:rsidRPr="0008558A">
        <w:rPr>
          <w:rStyle w:val="FootnoteReference"/>
        </w:rPr>
        <w:footnoteReference w:id="6"/>
      </w:r>
      <w:r w:rsidRPr="0008558A">
        <w:t>;</w:t>
      </w:r>
    </w:p>
    <w:p w14:paraId="65AFAAE7" w14:textId="77777777" w:rsidR="00677278" w:rsidRPr="0008558A" w:rsidRDefault="00677278" w:rsidP="00677278">
      <w:pPr>
        <w:pStyle w:val="NormalHanging12a"/>
      </w:pPr>
      <w:r w:rsidRPr="0008558A">
        <w:lastRenderedPageBreak/>
        <w:t>1.</w:t>
      </w:r>
      <w:r w:rsidRPr="0008558A">
        <w:tab/>
        <w:t>nõustub komisjoniga, et EGFi määruses, eriti selle artikli 4 lõike 2 punktis a sätestatud tingimused on täidetud ja Belgial on õigus saada nimetatud määruse alusel rahalist toetust summas 1 916 733 eurot ehk 85 % 2 254 980 euro suurusest kogukulust, mis sisaldab individuaalsete teenuste kulusid summas 2 168 980 eurot ning ettevalmistus-, haldus-, teavitamis- ja reklaami- ning kontrolli- ja aruandluskulusid summas 86 000 eurot;</w:t>
      </w:r>
    </w:p>
    <w:p w14:paraId="1F3C5D80" w14:textId="77777777" w:rsidR="00677278" w:rsidRPr="0008558A" w:rsidRDefault="00677278" w:rsidP="00677278">
      <w:pPr>
        <w:pStyle w:val="NormalHanging12a"/>
      </w:pPr>
      <w:r w:rsidRPr="0008558A">
        <w:t>2.</w:t>
      </w:r>
      <w:r w:rsidRPr="0008558A">
        <w:tab/>
        <w:t>märgib, et Belgia ametiasutused esitasid taotluse 23. septembril 2025 ning pärast Belgialt lisateabe saamist viis komisjon taotluse hindamise lõpule 6. veebruaril 2026 ja andis sellest Euroopa Parlamendile teada 11. veebruaril 2026; rõhutab, kui oluline on lühendada aega, mis jääb EGFi toetuse saamise taotluse esitamise ja rahastamisotsuse tegemise vahele, ning kaitsta samal ajal täielikult Euroopa Parlamendi kui eelarvepädeva institutsiooni õigusi;</w:t>
      </w:r>
    </w:p>
    <w:p w14:paraId="69DBBB75" w14:textId="77777777" w:rsidR="00677278" w:rsidRPr="0008558A" w:rsidRDefault="00677278" w:rsidP="00677278">
      <w:pPr>
        <w:pStyle w:val="NormalHanging12a"/>
      </w:pPr>
      <w:r w:rsidRPr="0008558A">
        <w:t>3.</w:t>
      </w:r>
      <w:r w:rsidRPr="0008558A">
        <w:tab/>
        <w:t>märgib, et taotlus on seotud töötajatega, kelle tegevus Casa kahes ettevõttes lõppes, ja et nad kõik on sihtrühma kuuluvad toetusesaajad;</w:t>
      </w:r>
    </w:p>
    <w:p w14:paraId="2DB36E0B" w14:textId="77777777" w:rsidR="00677278" w:rsidRPr="0008558A" w:rsidRDefault="00677278" w:rsidP="00677278">
      <w:pPr>
        <w:pStyle w:val="NormalHanging12a"/>
      </w:pPr>
      <w:r w:rsidRPr="0008558A">
        <w:t>4.</w:t>
      </w:r>
      <w:r w:rsidRPr="0008558A">
        <w:tab/>
        <w:t>võtab teadmiseks, et Casal oli mitu aastat enne pankroti väljakuulutamist rahalisi raskusi, mis tulenesid e-kaubanduse kasvavast levikust, suurenenud rahvusvahelisest konkurentsist ja ebaõiglastest konkurentsitingimustest, mis tõid lõppkokkuvõttes kaasa tõsise likviidsuspuudujäägi ja suutmatuse leida äriühingule potentsiaalset ostjat; rõhutab vajadust suurendada ärijuhtimise suutlikkust, et vältida koondamisi, kohanedes praeguse geopoliitilise kontekstiga, ja tulla ennetavalt toime suurte restruktureerimistega;</w:t>
      </w:r>
    </w:p>
    <w:p w14:paraId="57915D1C" w14:textId="77777777" w:rsidR="00677278" w:rsidRPr="0008558A" w:rsidRDefault="00677278" w:rsidP="00677278">
      <w:pPr>
        <w:pStyle w:val="NormalHanging12a"/>
        <w:rPr>
          <w:noProof/>
        </w:rPr>
      </w:pPr>
      <w:r w:rsidRPr="0008558A">
        <w:t>5.</w:t>
      </w:r>
      <w:r w:rsidRPr="0008558A">
        <w:tab/>
        <w:t>märgib, et kui koondatud müügiassistentidel on kõige soodsamad võimalused tööd leida, siis laotöötajatel on raskem leida uusi ametikohti ja nad vajavad oskuste täiendamise, ümberõppe või ümberpaigutamise kaudu lisatoetust; kutsub Belgia ametiasutusi üles pakkuma kohandatud eritoetust, et aidata töötajatel puudused ületada ja leida uus töökoht, mis vastab tööturu vajadustele; toonitab, et koondatud töötajate taasintegreerimine on tugeva tööstusbaasiga tulevikukindla Euroopa majanduse jaoks keskse tähtsusega;</w:t>
      </w:r>
    </w:p>
    <w:p w14:paraId="7EADCF17" w14:textId="77777777" w:rsidR="00677278" w:rsidRPr="0008558A" w:rsidRDefault="00677278" w:rsidP="00677278">
      <w:pPr>
        <w:pStyle w:val="NormalHanging12a"/>
      </w:pPr>
      <w:r w:rsidRPr="0008558A">
        <w:t>6.</w:t>
      </w:r>
      <w:r w:rsidRPr="0008558A">
        <w:tab/>
        <w:t>peab kahetsusväärseks, et pankrottide arvu suurenemine viimase kahe aasta jooksul on avaldanud negatiivset mõju tööhõive määrale mõnes Belgia piirkonnas, eelkõige Brüsselis ja Olenis (Antwerpeni provints); märgib, et 18 kuu jooksul kadus Belgias pankroti tõttu ligikaudu 45 000 töökohta, enamik neist Flandrias; toonitab, et Flandrias on madala haridustasemega inimeste puhul töötuserisk rohkem kui kaks korda suurem; rõhutab, kui oluline on ettevõtlussõbralik keskkond, mis võimaldab ettevõtetel jääda konkurentsivõimeliseks, loob töökohti ja aitab kaasa kestlikule majanduskasvule;</w:t>
      </w:r>
    </w:p>
    <w:p w14:paraId="6CEE8FFA" w14:textId="52A9B5B8" w:rsidR="00677278" w:rsidRPr="0008558A" w:rsidRDefault="00677278" w:rsidP="00677278">
      <w:pPr>
        <w:pStyle w:val="NormalHanging12a"/>
      </w:pPr>
      <w:r w:rsidRPr="0008558A">
        <w:t>7.</w:t>
      </w:r>
      <w:r w:rsidRPr="0008558A">
        <w:tab/>
        <w:t xml:space="preserve">tuletab meelde, et kokkuleppel ekspertide ja sotsiaalpartneritega sisaldavad kõigile töötajatele osutatavad individuaalsed teenused järgmisi meetmeid: teabeüritused, et anda nõu tööellu taasintegreerimisega seoses; koondamisjärgne abi, et juhendada töötajaid töö otsimisel; aktiivne vahendamine, milles keskendutakse iga tööotsija profiilile; personaalsed kavad oskuste, sealhulgas IT-oskuste arendamiseks; koolitus ja ümberõpe; töökohapõhine koolitus ja osalemine töömessil; rõhutab, kui oluline on edendada kvaliteetseid ja tulevikku suunatud töökohti, mis tugevdavad konkurentsivõimet ja toetavad digiüleminekut, tagades samal ajal, et </w:t>
      </w:r>
      <w:proofErr w:type="spellStart"/>
      <w:r w:rsidRPr="0008558A">
        <w:t>EGFi</w:t>
      </w:r>
      <w:proofErr w:type="spellEnd"/>
      <w:r w:rsidRPr="0008558A">
        <w:t xml:space="preserve"> rakendatakse </w:t>
      </w:r>
      <w:r w:rsidR="008E1B5B" w:rsidRPr="0008558A">
        <w:t>korrektselt</w:t>
      </w:r>
      <w:r w:rsidRPr="0008558A">
        <w:t xml:space="preserve"> ja see aitab kaasa liidu pikaajalisele majanduslikule ja sotsiaalsele vastupanuvõimele; rõhutab, et sotsiaalpartnerid tuleks kaasata kogu EGFi meetmete </w:t>
      </w:r>
      <w:r w:rsidRPr="0008558A">
        <w:lastRenderedPageBreak/>
        <w:t xml:space="preserve">rakendamise ajal, sealhulgas </w:t>
      </w:r>
      <w:r w:rsidR="00FC695A" w:rsidRPr="0008558A">
        <w:t>seireetapis</w:t>
      </w:r>
      <w:r w:rsidRPr="0008558A">
        <w:t>, et tagada toetusesaajatele pakutava toetuse kvaliteet ja asjakohasus;</w:t>
      </w:r>
    </w:p>
    <w:p w14:paraId="171655F2" w14:textId="77777777" w:rsidR="00677278" w:rsidRPr="0008558A" w:rsidRDefault="00677278" w:rsidP="00677278">
      <w:pPr>
        <w:pStyle w:val="NormalHanging12a"/>
      </w:pPr>
      <w:r w:rsidRPr="0008558A">
        <w:t>8.</w:t>
      </w:r>
      <w:r w:rsidRPr="0008558A">
        <w:tab/>
        <w:t>tuletab meelde, et EGF on solidaarsuse ja õiglase ülemineku vahend ning kuigi sellest antakse toetust pärast töökohtade kadumist, ei saa see asendada ennetavat tööstuspoliitikat; on seisukohal, et EGFi kasutuselevõtmine peab toimuma ulatuslikumate poliitilise meetmete raames kõigil poliitilistel tasanditel, et tagada mõjutatud töötajatele piisavad võimalused, mis vastavad nende kvalifikatsioonile ja oskustele; rõhutab, et liidu esmane ülesanne peab olema selliste sulgemiste ennetamine, luues tingimused selleks, et hoida tööstustootmine konkurentsivõimelisena, investeerides samal ajal nii kõrge kvalifikatsiooniga kui ka tööstustöötajate oskustesse; toonitab vajadust pakkuda madala haridustasemega töötajate profiilidele kohandatud eritoetust, võttes samal ajal meetmeid pankrottide vähendamiseks ja tööturult kõrvalejäämist põhjustava sotsiaalse ebavõrdsuse käsitlemiseks;</w:t>
      </w:r>
    </w:p>
    <w:p w14:paraId="4EEBDC96" w14:textId="77777777" w:rsidR="00677278" w:rsidRPr="0008558A" w:rsidRDefault="00677278" w:rsidP="00677278">
      <w:pPr>
        <w:pStyle w:val="NormalHanging12a"/>
        <w:rPr>
          <w:bCs/>
          <w:iCs/>
        </w:rPr>
      </w:pPr>
      <w:r w:rsidRPr="0008558A">
        <w:t>9.</w:t>
      </w:r>
      <w:r w:rsidRPr="0008558A">
        <w:tab/>
        <w:t>rõhutab, et Belgia ametiasutused tagavad liidu rahastamise nähtavuse ja toovad välja selle lisaväärtuse, andes toetusesaajatele, piirkondlikele ja kohalikele ametiasutustele, sotsiaalpartneritele ja laiemale üldsusele mõjusat ja sihipärast teavet;</w:t>
      </w:r>
    </w:p>
    <w:p w14:paraId="497A3EC2" w14:textId="77777777" w:rsidR="00677278" w:rsidRPr="0008558A" w:rsidRDefault="00677278" w:rsidP="00677278">
      <w:pPr>
        <w:pStyle w:val="NormalHanging12a"/>
      </w:pPr>
      <w:r w:rsidRPr="0008558A">
        <w:t>10.</w:t>
      </w:r>
      <w:r w:rsidRPr="0008558A">
        <w:tab/>
        <w:t>nõuab võetud meetmete põhjalikku lõpphindamist, sealhulgas selget teavet vahendite kasutamise, töötajate tööturule naasmise edukuse ja selle kohta, kas meetmetega saavutati eesmärgid, milleks EGF loodi;</w:t>
      </w:r>
    </w:p>
    <w:p w14:paraId="71C67144" w14:textId="77777777" w:rsidR="00677278" w:rsidRPr="0008558A" w:rsidRDefault="00677278" w:rsidP="00677278">
      <w:pPr>
        <w:pStyle w:val="NormalHanging12a"/>
      </w:pPr>
      <w:r w:rsidRPr="0008558A">
        <w:t>11.</w:t>
      </w:r>
      <w:r w:rsidRPr="0008558A">
        <w:tab/>
        <w:t>märgib, et Belgia alustas sihtrühma kuuluvatele toetusesaajatele individuaalsete teenuste osutamist 14. märtsil 2025 ja EGFist rahalise toetuse saamise tingimustele vastab seega ajavahemik alates nimetatud kuupäevast kuni 24 kuu möödumiseni rahastamisotsuse jõustumise kuupäevast;</w:t>
      </w:r>
    </w:p>
    <w:p w14:paraId="64F420E8" w14:textId="77777777" w:rsidR="00677278" w:rsidRPr="0008558A" w:rsidRDefault="00677278" w:rsidP="00677278">
      <w:pPr>
        <w:pStyle w:val="NormalHanging12a"/>
        <w:rPr>
          <w:sz w:val="23"/>
          <w:szCs w:val="23"/>
        </w:rPr>
      </w:pPr>
      <w:r w:rsidRPr="0008558A">
        <w:t>12.</w:t>
      </w:r>
      <w:r w:rsidRPr="0008558A">
        <w:tab/>
        <w:t>märgib, et Belgia hakkas EGFi rakendamisega seotud halduskulusid kandma 6. märtsil 2025 ja seega on sellised kulud kõlblikud EGFi rahalise toetuse saamiseks alates sellest kuupäevast kuni 31 kuu möödumiseni rahastamisotsuse jõustumise kuupäevast;</w:t>
      </w:r>
    </w:p>
    <w:p w14:paraId="049F5102" w14:textId="77777777" w:rsidR="00677278" w:rsidRPr="0008558A" w:rsidRDefault="00677278" w:rsidP="00677278">
      <w:pPr>
        <w:pStyle w:val="NormalHanging12a"/>
      </w:pPr>
      <w:r w:rsidRPr="0008558A">
        <w:t>13.</w:t>
      </w:r>
      <w:r w:rsidRPr="0008558A">
        <w:tab/>
        <w:t>märgib, et Belgia ametiasutused on kinnitanud, et kavandatud meetmetele juurdepääsul ja nende rakendamisel järgitakse võrdse kohtlemise ja mittediskrimineerimise põhimõtteid ning välditakse topeltrahastamist;</w:t>
      </w:r>
    </w:p>
    <w:p w14:paraId="6EF35C57" w14:textId="77777777" w:rsidR="00677278" w:rsidRPr="0008558A" w:rsidRDefault="00677278" w:rsidP="00677278">
      <w:pPr>
        <w:pStyle w:val="NormalHanging12a"/>
      </w:pPr>
      <w:r w:rsidRPr="0008558A">
        <w:t>14.</w:t>
      </w:r>
      <w:r w:rsidRPr="0008558A">
        <w:tab/>
        <w:t>kordab, et EGFi toetus ei tohi asendada meetmeid, mis on riigisisese õiguse või kollektiivlepingute kohaselt avaliku sektori asutuste või äriühingute vastutusalas; tuletab meelde, et EGF on piiratud, sihipärane ja täiendav mehhanism;</w:t>
      </w:r>
    </w:p>
    <w:p w14:paraId="092A72AA" w14:textId="77777777" w:rsidR="00677278" w:rsidRPr="0008558A" w:rsidRDefault="00677278" w:rsidP="00677278">
      <w:pPr>
        <w:pStyle w:val="NormalHanging12a"/>
      </w:pPr>
      <w:r w:rsidRPr="0008558A">
        <w:t>15.</w:t>
      </w:r>
      <w:r w:rsidRPr="0008558A">
        <w:tab/>
        <w:t>kiidab käesolevale resolutsioonile lisatud otsuse heaks;</w:t>
      </w:r>
    </w:p>
    <w:p w14:paraId="3C7D9D61" w14:textId="77777777" w:rsidR="00677278" w:rsidRPr="0008558A" w:rsidRDefault="00677278" w:rsidP="00677278">
      <w:pPr>
        <w:pStyle w:val="NormalHanging12a"/>
      </w:pPr>
      <w:r w:rsidRPr="0008558A">
        <w:t>16.</w:t>
      </w:r>
      <w:r w:rsidRPr="0008558A">
        <w:tab/>
        <w:t xml:space="preserve">teeb presidendile ülesandeks kirjutada koos nõukogu eesistujaga otsusele alla ja korraldada selle avaldamine </w:t>
      </w:r>
      <w:r w:rsidRPr="0008558A">
        <w:rPr>
          <w:i/>
        </w:rPr>
        <w:t>Euroopa Liidu Teatajas</w:t>
      </w:r>
      <w:r w:rsidRPr="0008558A">
        <w:t>;</w:t>
      </w:r>
    </w:p>
    <w:p w14:paraId="3A0B5FDD" w14:textId="77777777" w:rsidR="00677278" w:rsidRPr="0008558A" w:rsidRDefault="00677278" w:rsidP="00677278">
      <w:pPr>
        <w:pStyle w:val="NormalHanging12a"/>
      </w:pPr>
      <w:r w:rsidRPr="0008558A">
        <w:t>17.</w:t>
      </w:r>
      <w:r w:rsidRPr="0008558A">
        <w:tab/>
        <w:t>teeb presidendile ülesandeks edastada käesolev resolutsioon koos selle lisaga nõukogule ja komisjonile.</w:t>
      </w:r>
    </w:p>
    <w:p w14:paraId="503A75E1" w14:textId="77777777" w:rsidR="00677278" w:rsidRPr="0008558A" w:rsidRDefault="00677278" w:rsidP="0008558A">
      <w:pPr>
        <w:pStyle w:val="PageHeading"/>
        <w:jc w:val="left"/>
        <w:rPr>
          <w:noProof/>
        </w:rPr>
        <w:sectPr w:rsidR="00677278" w:rsidRPr="0008558A" w:rsidSect="00307964">
          <w:headerReference w:type="even" r:id="rId9"/>
          <w:headerReference w:type="default" r:id="rId10"/>
          <w:footerReference w:type="even"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6EADA2D" w14:textId="77777777" w:rsidR="00D31A09" w:rsidRDefault="00677278" w:rsidP="00677278">
      <w:pPr>
        <w:pStyle w:val="PageHeading"/>
      </w:pPr>
      <w:bookmarkStart w:id="7" w:name="_Toc221116748"/>
      <w:bookmarkStart w:id="8" w:name="_Toc224746877"/>
      <w:r w:rsidRPr="0008558A">
        <w:lastRenderedPageBreak/>
        <w:t>LISA</w:t>
      </w:r>
      <w:bookmarkStart w:id="9" w:name="_Hlk219192825"/>
    </w:p>
    <w:p w14:paraId="6DC919C5" w14:textId="1EFACF2E" w:rsidR="00677278" w:rsidRPr="0008558A" w:rsidRDefault="00677278" w:rsidP="00677278">
      <w:pPr>
        <w:pStyle w:val="PageHeading"/>
      </w:pPr>
      <w:r w:rsidRPr="0008558A">
        <w:t>EUROOPA PARLAMENDI JA NÕUKOGU OTSUS</w:t>
      </w:r>
      <w:bookmarkEnd w:id="7"/>
      <w:bookmarkEnd w:id="8"/>
    </w:p>
    <w:p w14:paraId="56EE7D05" w14:textId="77777777" w:rsidR="00677278" w:rsidRDefault="00677278" w:rsidP="00677278">
      <w:pPr>
        <w:pStyle w:val="Titreobjet"/>
      </w:pPr>
      <w:r w:rsidRPr="0008558A">
        <w:t>koondatud töötajate toetuseks loodud Globaliseerumisega Kohanemise Euroopa Fondi kasutuselevõtmise kohta (Belgia taotlus – EGF/2025/007 BE/Casa)</w:t>
      </w:r>
    </w:p>
    <w:p w14:paraId="5AD88FDA" w14:textId="31417E68" w:rsidR="00D31A09" w:rsidRPr="00D31A09" w:rsidRDefault="00D31A09" w:rsidP="00D31A09">
      <w:pPr>
        <w:pStyle w:val="Institutionquiagit"/>
        <w:spacing w:before="120"/>
        <w:jc w:val="left"/>
        <w:outlineLvl w:val="0"/>
      </w:pPr>
      <w:r w:rsidRPr="006D4016">
        <w:rPr>
          <w:i/>
          <w:szCs w:val="24"/>
        </w:rPr>
        <w:t>(Käesoleva lisa teksti siinkohal ei avaldata, kuna see kattub lõpliku õigusaktiga, st otsusega (EL) </w:t>
      </w:r>
      <w:r>
        <w:rPr>
          <w:i/>
          <w:szCs w:val="24"/>
        </w:rPr>
        <w:t>2026</w:t>
      </w:r>
      <w:r w:rsidRPr="006D4016">
        <w:rPr>
          <w:i/>
          <w:szCs w:val="24"/>
        </w:rPr>
        <w:t>/</w:t>
      </w:r>
      <w:r>
        <w:rPr>
          <w:i/>
          <w:szCs w:val="24"/>
        </w:rPr>
        <w:t>851</w:t>
      </w:r>
      <w:r w:rsidRPr="006D4016">
        <w:rPr>
          <w:i/>
          <w:szCs w:val="24"/>
        </w:rPr>
        <w:t>).</w:t>
      </w:r>
    </w:p>
    <w:bookmarkEnd w:id="9"/>
    <w:sectPr w:rsidR="00D31A09" w:rsidRPr="00D31A09" w:rsidSect="00C96851">
      <w:headerReference w:type="even" r:id="rId13"/>
      <w:headerReference w:type="default" r:id="rId14"/>
      <w:footerReference w:type="even" r:id="rId15"/>
      <w:foot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58BCF1" w14:textId="77777777" w:rsidR="00792467" w:rsidRPr="00C96851" w:rsidRDefault="00792467">
      <w:r w:rsidRPr="00C96851">
        <w:separator/>
      </w:r>
    </w:p>
  </w:endnote>
  <w:endnote w:type="continuationSeparator" w:id="0">
    <w:p w14:paraId="7CEA91CD" w14:textId="77777777" w:rsidR="00792467" w:rsidRPr="00C96851" w:rsidRDefault="00792467">
      <w:r w:rsidRPr="00C968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5F8DD" w14:textId="77777777" w:rsidR="00677278" w:rsidRPr="00C96851" w:rsidRDefault="00677278" w:rsidP="00570285">
    <w:pPr>
      <w:pStyle w:val="EPFooter"/>
    </w:pPr>
    <w:r w:rsidRPr="00C96851">
      <w:t>PE</w:t>
    </w:r>
    <w:r w:rsidRPr="00C96851">
      <w:rPr>
        <w:rStyle w:val="HideTWBExt"/>
      </w:rPr>
      <w:t>&lt;NoPE&gt;</w:t>
    </w:r>
    <w:r w:rsidRPr="00C96851">
      <w:t>784.477</w:t>
    </w:r>
    <w:r w:rsidRPr="00C96851">
      <w:rPr>
        <w:rStyle w:val="HideTWBExt"/>
      </w:rPr>
      <w:t>&lt;/NoPE&gt;&lt;Version&gt;</w:t>
    </w:r>
    <w:r w:rsidRPr="00C96851">
      <w:t>v02-00</w:t>
    </w:r>
    <w:r w:rsidRPr="00C96851">
      <w:rPr>
        <w:rStyle w:val="HideTWBExt"/>
      </w:rPr>
      <w:t>&lt;/Version&gt;</w:t>
    </w:r>
    <w:r w:rsidRPr="00C96851">
      <w:tab/>
    </w:r>
    <w:r w:rsidRPr="00C96851">
      <w:fldChar w:fldCharType="begin"/>
    </w:r>
    <w:r w:rsidRPr="00C96851">
      <w:instrText xml:space="preserve"> PAGE  \* MERGEFORMAT </w:instrText>
    </w:r>
    <w:r w:rsidRPr="00C96851">
      <w:fldChar w:fldCharType="separate"/>
    </w:r>
    <w:r w:rsidRPr="00C96851">
      <w:rPr>
        <w:noProof/>
      </w:rPr>
      <w:t>1</w:t>
    </w:r>
    <w:r w:rsidRPr="00C96851">
      <w:fldChar w:fldCharType="end"/>
    </w:r>
    <w:r w:rsidRPr="00C96851">
      <w:t>/</w:t>
    </w:r>
    <w:fldSimple w:instr=" NUMPAGES  \* MERGEFORMAT ">
      <w:r w:rsidRPr="00C96851">
        <w:rPr>
          <w:noProof/>
        </w:rPr>
        <w:t>1</w:t>
      </w:r>
    </w:fldSimple>
    <w:r w:rsidRPr="00C96851">
      <w:tab/>
    </w:r>
    <w:r w:rsidRPr="00C96851">
      <w:rPr>
        <w:rStyle w:val="HideTWBExt"/>
      </w:rPr>
      <w:t>&lt;PathFdR&gt;</w:t>
    </w:r>
    <w:r w:rsidRPr="00C96851">
      <w:t>RR\1339712ET.docx</w:t>
    </w:r>
    <w:r w:rsidRPr="00C96851">
      <w:rPr>
        <w:rStyle w:val="HideTWBExt"/>
      </w:rPr>
      <w:t>&lt;/PathFdR&gt;</w:t>
    </w:r>
  </w:p>
  <w:p w14:paraId="26A92AE0" w14:textId="77777777" w:rsidR="00677278" w:rsidRPr="00C96851" w:rsidRDefault="00677278" w:rsidP="00570285">
    <w:pPr>
      <w:pStyle w:val="EPFooter2"/>
    </w:pPr>
    <w:r w:rsidRPr="00C96851">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0D5C9" w14:textId="77777777" w:rsidR="00677278" w:rsidRPr="00C96851" w:rsidRDefault="00677278" w:rsidP="00570285">
    <w:pPr>
      <w:pStyle w:val="EPFooter"/>
    </w:pPr>
    <w:r w:rsidRPr="00C96851">
      <w:rPr>
        <w:rStyle w:val="HideTWBExt"/>
      </w:rPr>
      <w:t>&lt;PathFdR&gt;</w:t>
    </w:r>
    <w:r w:rsidRPr="00C96851">
      <w:t>RR\1339712ET.docx</w:t>
    </w:r>
    <w:r w:rsidRPr="00C96851">
      <w:rPr>
        <w:rStyle w:val="HideTWBExt"/>
      </w:rPr>
      <w:t>&lt;/PathFdR&gt;</w:t>
    </w:r>
    <w:r w:rsidRPr="00C96851">
      <w:tab/>
    </w:r>
    <w:r w:rsidRPr="00C96851">
      <w:tab/>
      <w:t>PE</w:t>
    </w:r>
    <w:r w:rsidRPr="00C96851">
      <w:rPr>
        <w:rStyle w:val="HideTWBExt"/>
      </w:rPr>
      <w:t>&lt;NoPE&gt;</w:t>
    </w:r>
    <w:r w:rsidRPr="00C96851">
      <w:t>784.477</w:t>
    </w:r>
    <w:r w:rsidRPr="00C96851">
      <w:rPr>
        <w:rStyle w:val="HideTWBExt"/>
      </w:rPr>
      <w:t>&lt;/NoPE&gt;&lt;Version&gt;</w:t>
    </w:r>
    <w:r w:rsidRPr="00C96851">
      <w:t>v02-00</w:t>
    </w:r>
    <w:r w:rsidRPr="00C96851">
      <w:rPr>
        <w:rStyle w:val="HideTWBExt"/>
      </w:rPr>
      <w:t>&lt;/Version&gt;</w:t>
    </w:r>
  </w:p>
  <w:p w14:paraId="5F4635BE" w14:textId="77777777" w:rsidR="00677278" w:rsidRPr="00C96851" w:rsidRDefault="00677278" w:rsidP="00570285">
    <w:pPr>
      <w:pStyle w:val="EPFooter2"/>
    </w:pPr>
    <w:r w:rsidRPr="00C96851">
      <w:t>ET</w:t>
    </w:r>
    <w:r w:rsidRPr="00C96851">
      <w:tab/>
    </w:r>
    <w:r w:rsidRPr="00C96851">
      <w:rPr>
        <w:b w:val="0"/>
        <w:i/>
        <w:color w:val="C0C0C0"/>
        <w:sz w:val="22"/>
      </w:rPr>
      <w:t>Ühinenud mitmekesisuses</w:t>
    </w:r>
    <w:r w:rsidRPr="00C96851">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C5FF6" w14:textId="77777777" w:rsidR="00064002" w:rsidRPr="00C96851"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909BF" w14:textId="77777777" w:rsidR="00064002" w:rsidRPr="00C96851"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8B022" w14:textId="77777777" w:rsidR="00064002" w:rsidRPr="00C9685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A04682" w14:textId="77777777" w:rsidR="00792467" w:rsidRPr="00C96851" w:rsidRDefault="00792467">
      <w:r w:rsidRPr="00C96851">
        <w:separator/>
      </w:r>
    </w:p>
  </w:footnote>
  <w:footnote w:type="continuationSeparator" w:id="0">
    <w:p w14:paraId="444B55E6" w14:textId="77777777" w:rsidR="00792467" w:rsidRPr="00C96851" w:rsidRDefault="00792467">
      <w:r w:rsidRPr="00C96851">
        <w:continuationSeparator/>
      </w:r>
    </w:p>
  </w:footnote>
  <w:footnote w:id="1">
    <w:p w14:paraId="35F78A99" w14:textId="5FA65283" w:rsidR="00677278" w:rsidRPr="00C96851" w:rsidRDefault="00677278" w:rsidP="00C96851">
      <w:pPr>
        <w:pStyle w:val="FootnoteText"/>
        <w:ind w:left="567" w:hanging="567"/>
        <w:rPr>
          <w:sz w:val="24"/>
          <w:lang w:val="et-EE"/>
        </w:rPr>
      </w:pPr>
      <w:r w:rsidRPr="00C96851">
        <w:rPr>
          <w:rStyle w:val="FootnoteReference"/>
          <w:sz w:val="24"/>
          <w:lang w:val="et-EE"/>
        </w:rPr>
        <w:footnoteRef/>
      </w:r>
      <w:r w:rsidR="00C96851" w:rsidRPr="00C96851">
        <w:rPr>
          <w:sz w:val="24"/>
          <w:lang w:val="et-EE"/>
        </w:rPr>
        <w:tab/>
      </w:r>
      <w:r w:rsidRPr="00C96851">
        <w:rPr>
          <w:sz w:val="24"/>
          <w:lang w:val="et-EE"/>
        </w:rPr>
        <w:t xml:space="preserve">ELT L 153, 3.5.2021, lk 48, ELI: </w:t>
      </w:r>
      <w:hyperlink r:id="rId1" w:history="1">
        <w:r w:rsidRPr="00C96851">
          <w:rPr>
            <w:rStyle w:val="Hyperlink"/>
            <w:sz w:val="24"/>
            <w:lang w:val="et-EE"/>
          </w:rPr>
          <w:t>http://data.europa.eu/eli/reg/2021/691/oj</w:t>
        </w:r>
      </w:hyperlink>
      <w:r w:rsidRPr="00C96851">
        <w:rPr>
          <w:sz w:val="24"/>
          <w:lang w:val="et-EE"/>
        </w:rPr>
        <w:t>.</w:t>
      </w:r>
    </w:p>
  </w:footnote>
  <w:footnote w:id="2">
    <w:p w14:paraId="748CE1C7" w14:textId="0AB84B6D" w:rsidR="00677278" w:rsidRPr="00C96851" w:rsidRDefault="00677278" w:rsidP="00C96851">
      <w:pPr>
        <w:pStyle w:val="FootnoteText"/>
        <w:ind w:left="567" w:hanging="567"/>
        <w:rPr>
          <w:sz w:val="24"/>
          <w:lang w:val="et-EE"/>
        </w:rPr>
      </w:pPr>
      <w:r w:rsidRPr="00C96851">
        <w:rPr>
          <w:rStyle w:val="FootnoteReference"/>
          <w:sz w:val="24"/>
          <w:lang w:val="et-EE"/>
        </w:rPr>
        <w:footnoteRef/>
      </w:r>
      <w:r w:rsidR="00C96851" w:rsidRPr="00C96851">
        <w:rPr>
          <w:sz w:val="24"/>
          <w:lang w:val="et-EE"/>
        </w:rPr>
        <w:tab/>
      </w:r>
      <w:r w:rsidRPr="00C96851">
        <w:rPr>
          <w:sz w:val="24"/>
          <w:lang w:val="et-EE"/>
        </w:rPr>
        <w:t xml:space="preserve">ELT L 433 I, 22.12.2020, lk 11, ELI: </w:t>
      </w:r>
      <w:hyperlink r:id="rId2" w:history="1">
        <w:r w:rsidRPr="00C96851">
          <w:rPr>
            <w:rStyle w:val="Hyperlink"/>
            <w:sz w:val="24"/>
            <w:lang w:val="et-EE"/>
          </w:rPr>
          <w:t>http://data.europa.eu/eli/reg/2020/2093/oj</w:t>
        </w:r>
      </w:hyperlink>
      <w:r w:rsidRPr="00C96851">
        <w:rPr>
          <w:sz w:val="24"/>
          <w:lang w:val="et-EE"/>
        </w:rPr>
        <w:t>.</w:t>
      </w:r>
    </w:p>
  </w:footnote>
  <w:footnote w:id="3">
    <w:p w14:paraId="5BBE7319" w14:textId="5B325449" w:rsidR="00677278" w:rsidRPr="00C96851" w:rsidRDefault="00677278" w:rsidP="00C96851">
      <w:pPr>
        <w:pStyle w:val="FootnoteText"/>
        <w:ind w:left="567" w:hanging="567"/>
        <w:rPr>
          <w:sz w:val="24"/>
          <w:lang w:val="et-EE"/>
        </w:rPr>
      </w:pPr>
      <w:r w:rsidRPr="00C96851">
        <w:rPr>
          <w:rStyle w:val="FootnoteReference"/>
          <w:sz w:val="24"/>
          <w:lang w:val="et-EE"/>
        </w:rPr>
        <w:footnoteRef/>
      </w:r>
      <w:r w:rsidR="00C96851" w:rsidRPr="00C96851">
        <w:rPr>
          <w:sz w:val="24"/>
          <w:shd w:val="clear" w:color="auto" w:fill="FFFFFF"/>
          <w:lang w:val="et-EE"/>
        </w:rPr>
        <w:tab/>
      </w:r>
      <w:r w:rsidRPr="00C96851">
        <w:rPr>
          <w:sz w:val="24"/>
          <w:shd w:val="clear" w:color="auto" w:fill="FFFFFF"/>
          <w:lang w:val="et-EE"/>
        </w:rPr>
        <w:t>Nõukogu 29. veebruari 2024. aasta määrus (EL, Euratom) 2024/765, millega muudetakse määrust (EL, Euratom) 2020/2093, millega määratakse kindlaks mitmeaastane finantsraamistik aastateks 2021–2027 (ELT L, 2024/765, 29.2.2024, ELI:</w:t>
      </w:r>
      <w:r w:rsidRPr="00C96851">
        <w:rPr>
          <w:color w:val="333333"/>
          <w:sz w:val="24"/>
          <w:shd w:val="clear" w:color="auto" w:fill="FFFFFF"/>
          <w:lang w:val="et-EE"/>
        </w:rPr>
        <w:t xml:space="preserve"> </w:t>
      </w:r>
      <w:r w:rsidR="00D31A09">
        <w:fldChar w:fldCharType="begin"/>
      </w:r>
      <w:r w:rsidR="00D31A09" w:rsidRPr="00D31A09">
        <w:rPr>
          <w:lang w:val="et-EE"/>
        </w:rPr>
        <w:instrText>HYPERLINK "http://data.europa.eu/eli/reg/2024/765/oj"</w:instrText>
      </w:r>
      <w:r w:rsidR="00D31A09">
        <w:fldChar w:fldCharType="separate"/>
      </w:r>
      <w:r w:rsidRPr="00C96851">
        <w:rPr>
          <w:rStyle w:val="Hyperlink"/>
          <w:sz w:val="24"/>
          <w:shd w:val="clear" w:color="auto" w:fill="FFFFFF"/>
          <w:lang w:val="et-EE"/>
        </w:rPr>
        <w:t>http://data.europa.eu/eli/reg/2024/765/oj</w:t>
      </w:r>
      <w:r w:rsidR="00D31A09">
        <w:rPr>
          <w:rStyle w:val="Hyperlink"/>
          <w:sz w:val="24"/>
          <w:shd w:val="clear" w:color="auto" w:fill="FFFFFF"/>
          <w:lang w:val="et-EE"/>
        </w:rPr>
        <w:fldChar w:fldCharType="end"/>
      </w:r>
      <w:r w:rsidRPr="0008558A">
        <w:rPr>
          <w:iCs/>
          <w:color w:val="333333"/>
          <w:sz w:val="24"/>
          <w:shd w:val="clear" w:color="auto" w:fill="FFFFFF"/>
          <w:lang w:val="et-EE"/>
        </w:rPr>
        <w:t>)</w:t>
      </w:r>
      <w:r w:rsidRPr="00C96851">
        <w:rPr>
          <w:i/>
          <w:color w:val="333333"/>
          <w:sz w:val="24"/>
          <w:shd w:val="clear" w:color="auto" w:fill="FFFFFF"/>
          <w:lang w:val="et-EE"/>
        </w:rPr>
        <w:t>.</w:t>
      </w:r>
    </w:p>
  </w:footnote>
  <w:footnote w:id="4">
    <w:p w14:paraId="34525DD3" w14:textId="34D85D7F" w:rsidR="00677278" w:rsidRPr="00C96851" w:rsidRDefault="00677278" w:rsidP="00C96851">
      <w:pPr>
        <w:pStyle w:val="FootnoteText"/>
        <w:ind w:left="567" w:hanging="567"/>
        <w:rPr>
          <w:sz w:val="24"/>
          <w:lang w:val="et-EE"/>
        </w:rPr>
      </w:pPr>
      <w:r w:rsidRPr="00C96851">
        <w:rPr>
          <w:rStyle w:val="FootnoteReference"/>
          <w:sz w:val="24"/>
          <w:lang w:val="et-EE"/>
        </w:rPr>
        <w:footnoteRef/>
      </w:r>
      <w:r w:rsidR="00C96851" w:rsidRPr="00C96851">
        <w:rPr>
          <w:sz w:val="24"/>
          <w:lang w:val="et-EE"/>
        </w:rPr>
        <w:tab/>
      </w:r>
      <w:r w:rsidRPr="00C96851">
        <w:rPr>
          <w:sz w:val="24"/>
          <w:lang w:val="et-EE"/>
        </w:rPr>
        <w:t xml:space="preserve">ELT L 433 I, 22.12.2020, lk 28, ELI: </w:t>
      </w:r>
      <w:r w:rsidR="00D31A09">
        <w:fldChar w:fldCharType="begin"/>
      </w:r>
      <w:r w:rsidR="00D31A09" w:rsidRPr="00D31A09">
        <w:rPr>
          <w:lang w:val="da-DK"/>
        </w:rPr>
        <w:instrText>HYPERLINK "http://data.europa.eu/eli/agree_interinstit/2020/1222/oj"</w:instrText>
      </w:r>
      <w:r w:rsidR="00D31A09">
        <w:fldChar w:fldCharType="separate"/>
      </w:r>
      <w:r w:rsidRPr="00C96851">
        <w:rPr>
          <w:rStyle w:val="Hyperlink"/>
          <w:sz w:val="24"/>
          <w:lang w:val="et-EE"/>
        </w:rPr>
        <w:t>http://data.europa.eu/eli/agree_interinstit/2020/1222/oj</w:t>
      </w:r>
      <w:r w:rsidR="00D31A09">
        <w:rPr>
          <w:rStyle w:val="Hyperlink"/>
          <w:sz w:val="24"/>
          <w:lang w:val="et-EE"/>
        </w:rPr>
        <w:fldChar w:fldCharType="end"/>
      </w:r>
      <w:r w:rsidRPr="00C96851">
        <w:rPr>
          <w:sz w:val="24"/>
          <w:lang w:val="et-EE"/>
        </w:rPr>
        <w:t>.</w:t>
      </w:r>
    </w:p>
  </w:footnote>
  <w:footnote w:id="5">
    <w:p w14:paraId="56E63607" w14:textId="6B8796F8" w:rsidR="00677278" w:rsidRPr="00C96851" w:rsidRDefault="00677278" w:rsidP="00C96851">
      <w:pPr>
        <w:pStyle w:val="FootnoteText"/>
        <w:ind w:left="567" w:hanging="567"/>
        <w:rPr>
          <w:sz w:val="24"/>
          <w:lang w:val="et-EE"/>
        </w:rPr>
      </w:pPr>
      <w:r w:rsidRPr="00C96851">
        <w:rPr>
          <w:rStyle w:val="FootnoteReference"/>
          <w:sz w:val="24"/>
          <w:lang w:val="et-EE"/>
        </w:rPr>
        <w:footnoteRef/>
      </w:r>
      <w:r w:rsidR="00C96851" w:rsidRPr="00C96851">
        <w:rPr>
          <w:sz w:val="24"/>
          <w:lang w:val="et-EE"/>
        </w:rPr>
        <w:tab/>
      </w:r>
      <w:r w:rsidRPr="00C96851">
        <w:rPr>
          <w:sz w:val="24"/>
          <w:lang w:val="et-EE"/>
        </w:rPr>
        <w:t>EGFi määruse artikli 3 tähenduses.</w:t>
      </w:r>
    </w:p>
  </w:footnote>
  <w:footnote w:id="6">
    <w:p w14:paraId="58B3843B" w14:textId="4BB78D06" w:rsidR="00677278" w:rsidRPr="00C96851" w:rsidRDefault="00677278" w:rsidP="00C96851">
      <w:pPr>
        <w:pStyle w:val="FootnoteText"/>
        <w:ind w:left="567" w:hanging="567"/>
        <w:rPr>
          <w:sz w:val="24"/>
          <w:lang w:val="et-EE"/>
        </w:rPr>
      </w:pPr>
      <w:r w:rsidRPr="00C96851">
        <w:rPr>
          <w:rStyle w:val="FootnoteReference"/>
          <w:sz w:val="24"/>
          <w:lang w:val="et-EE"/>
        </w:rPr>
        <w:footnoteRef/>
      </w:r>
      <w:r w:rsidR="00C96851" w:rsidRPr="00C96851">
        <w:rPr>
          <w:sz w:val="24"/>
          <w:lang w:val="et-EE"/>
        </w:rPr>
        <w:tab/>
      </w:r>
      <w:r w:rsidRPr="00C96851">
        <w:rPr>
          <w:sz w:val="24"/>
          <w:lang w:val="et-EE"/>
        </w:rPr>
        <w:t>Mitmeaastase finantsraamistiku määruse artikkel 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298C0" w14:textId="77777777" w:rsidR="00677278" w:rsidRPr="00C96851" w:rsidRDefault="00677278">
    <w:pPr>
      <w:pStyle w:val="Header"/>
    </w:pPr>
  </w:p>
  <w:p w14:paraId="30FACDC6" w14:textId="77777777" w:rsidR="00677278" w:rsidRPr="00C96851" w:rsidRDefault="00677278"/>
  <w:p w14:paraId="20B4FE79" w14:textId="77777777" w:rsidR="00677278" w:rsidRPr="00C96851" w:rsidRDefault="0067727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6330E" w14:textId="77777777" w:rsidR="00677278" w:rsidRPr="00C96851" w:rsidRDefault="00677278" w:rsidP="00FC695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6A8A1" w14:textId="77777777" w:rsidR="00064002" w:rsidRPr="00C96851" w:rsidRDefault="0006400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1BCA1" w14:textId="77777777" w:rsidR="00064002" w:rsidRPr="00C96851"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A55FE" w14:textId="77777777" w:rsidR="00064002" w:rsidRPr="00C9685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02259170">
    <w:abstractNumId w:val="9"/>
  </w:num>
  <w:num w:numId="2" w16cid:durableId="577207981">
    <w:abstractNumId w:val="9"/>
  </w:num>
  <w:num w:numId="3" w16cid:durableId="1511218292">
    <w:abstractNumId w:val="7"/>
  </w:num>
  <w:num w:numId="4" w16cid:durableId="478305670">
    <w:abstractNumId w:val="7"/>
  </w:num>
  <w:num w:numId="5" w16cid:durableId="1196233986">
    <w:abstractNumId w:val="6"/>
  </w:num>
  <w:num w:numId="6" w16cid:durableId="989866770">
    <w:abstractNumId w:val="6"/>
  </w:num>
  <w:num w:numId="7" w16cid:durableId="587153672">
    <w:abstractNumId w:val="5"/>
  </w:num>
  <w:num w:numId="8" w16cid:durableId="442309368">
    <w:abstractNumId w:val="5"/>
  </w:num>
  <w:num w:numId="9" w16cid:durableId="589242634">
    <w:abstractNumId w:val="4"/>
  </w:num>
  <w:num w:numId="10" w16cid:durableId="13769077">
    <w:abstractNumId w:val="4"/>
  </w:num>
  <w:num w:numId="11" w16cid:durableId="1887519138">
    <w:abstractNumId w:val="8"/>
  </w:num>
  <w:num w:numId="12" w16cid:durableId="1410956430">
    <w:abstractNumId w:val="8"/>
  </w:num>
  <w:num w:numId="13" w16cid:durableId="1619139134">
    <w:abstractNumId w:val="3"/>
  </w:num>
  <w:num w:numId="14" w16cid:durableId="141385074">
    <w:abstractNumId w:val="3"/>
  </w:num>
  <w:num w:numId="15" w16cid:durableId="1991670610">
    <w:abstractNumId w:val="2"/>
  </w:num>
  <w:num w:numId="16" w16cid:durableId="785546639">
    <w:abstractNumId w:val="2"/>
  </w:num>
  <w:num w:numId="17" w16cid:durableId="876241408">
    <w:abstractNumId w:val="1"/>
  </w:num>
  <w:num w:numId="18" w16cid:durableId="1352415653">
    <w:abstractNumId w:val="1"/>
  </w:num>
  <w:num w:numId="19" w16cid:durableId="773406819">
    <w:abstractNumId w:val="0"/>
  </w:num>
  <w:num w:numId="20" w16cid:durableId="1678849035">
    <w:abstractNumId w:val="0"/>
  </w:num>
  <w:num w:numId="21" w16cid:durableId="1626037808">
    <w:abstractNumId w:val="9"/>
  </w:num>
  <w:num w:numId="22" w16cid:durableId="15884950">
    <w:abstractNumId w:val="7"/>
  </w:num>
  <w:num w:numId="23" w16cid:durableId="1242832921">
    <w:abstractNumId w:val="6"/>
  </w:num>
  <w:num w:numId="24" w16cid:durableId="875779611">
    <w:abstractNumId w:val="5"/>
  </w:num>
  <w:num w:numId="25" w16cid:durableId="385682699">
    <w:abstractNumId w:val="4"/>
  </w:num>
  <w:num w:numId="26" w16cid:durableId="740560979">
    <w:abstractNumId w:val="8"/>
  </w:num>
  <w:num w:numId="27" w16cid:durableId="326205044">
    <w:abstractNumId w:val="3"/>
  </w:num>
  <w:num w:numId="28" w16cid:durableId="2138135071">
    <w:abstractNumId w:val="2"/>
  </w:num>
  <w:num w:numId="29" w16cid:durableId="137696598">
    <w:abstractNumId w:val="1"/>
  </w:num>
  <w:num w:numId="30" w16cid:durableId="849101799">
    <w:abstractNumId w:val="0"/>
  </w:num>
  <w:num w:numId="31" w16cid:durableId="1118179900">
    <w:abstractNumId w:val="9"/>
  </w:num>
  <w:num w:numId="32" w16cid:durableId="1879587872">
    <w:abstractNumId w:val="7"/>
  </w:num>
  <w:num w:numId="33" w16cid:durableId="506673094">
    <w:abstractNumId w:val="6"/>
  </w:num>
  <w:num w:numId="34" w16cid:durableId="943733057">
    <w:abstractNumId w:val="5"/>
  </w:num>
  <w:num w:numId="35" w16cid:durableId="308025791">
    <w:abstractNumId w:val="4"/>
  </w:num>
  <w:num w:numId="36" w16cid:durableId="466703648">
    <w:abstractNumId w:val="8"/>
  </w:num>
  <w:num w:numId="37" w16cid:durableId="1811901616">
    <w:abstractNumId w:val="3"/>
  </w:num>
  <w:num w:numId="38" w16cid:durableId="454951253">
    <w:abstractNumId w:val="2"/>
  </w:num>
  <w:num w:numId="39" w16cid:durableId="1737434888">
    <w:abstractNumId w:val="1"/>
  </w:num>
  <w:num w:numId="40" w16cid:durableId="596985900">
    <w:abstractNumId w:val="0"/>
  </w:num>
  <w:num w:numId="41" w16cid:durableId="1757705699">
    <w:abstractNumId w:val="10"/>
  </w:num>
  <w:num w:numId="42" w16cid:durableId="451361917">
    <w:abstractNumId w:val="10"/>
  </w:num>
  <w:num w:numId="43" w16cid:durableId="1201358902">
    <w:abstractNumId w:val="10"/>
  </w:num>
  <w:num w:numId="44" w16cid:durableId="15942371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1/2026"/>
    <w:docVar w:name="dvlangue" w:val="ET"/>
    <w:docVar w:name="dvnumam" w:val="0"/>
    <w:docVar w:name="dvpe" w:val="784.477"/>
    <w:docVar w:name="dvrapporteur" w:val="Raportöör: "/>
    <w:docVar w:name="dvtitre" w:val="Euroopa Parlamendi .... 2026. aasta seadusandlik resolutsioon mis käsitleb ettepanekut võtta vastu Euroopa Parlamendi ja nõukogu otsus koondatud töötajate toetuseks loodud Globaliseerumisega Kohanemise Euroopa Fondi kasutuselevõtmise kohta (Belgia taotlus – EGF/2025/007 BE/Casa)(COM(2026)0003 – C10-0025/2026 – 2026/0038(BUD))"/>
  </w:docVars>
  <w:rsids>
    <w:rsidRoot w:val="00792467"/>
    <w:rsid w:val="00002272"/>
    <w:rsid w:val="00064002"/>
    <w:rsid w:val="000677B9"/>
    <w:rsid w:val="000831BA"/>
    <w:rsid w:val="0008558A"/>
    <w:rsid w:val="000A42CC"/>
    <w:rsid w:val="000E7DD9"/>
    <w:rsid w:val="0010095E"/>
    <w:rsid w:val="00125B37"/>
    <w:rsid w:val="00187494"/>
    <w:rsid w:val="001F32AE"/>
    <w:rsid w:val="002767FF"/>
    <w:rsid w:val="002B18FE"/>
    <w:rsid w:val="002B5493"/>
    <w:rsid w:val="00307964"/>
    <w:rsid w:val="00343214"/>
    <w:rsid w:val="00356FEC"/>
    <w:rsid w:val="00361C00"/>
    <w:rsid w:val="00395FA1"/>
    <w:rsid w:val="003E15D4"/>
    <w:rsid w:val="00411CCE"/>
    <w:rsid w:val="0041666E"/>
    <w:rsid w:val="00421060"/>
    <w:rsid w:val="00471C19"/>
    <w:rsid w:val="004867E3"/>
    <w:rsid w:val="00490D9F"/>
    <w:rsid w:val="00494A28"/>
    <w:rsid w:val="004C0004"/>
    <w:rsid w:val="004C5D52"/>
    <w:rsid w:val="0050519A"/>
    <w:rsid w:val="005072A1"/>
    <w:rsid w:val="00514517"/>
    <w:rsid w:val="00545827"/>
    <w:rsid w:val="00560270"/>
    <w:rsid w:val="005C2568"/>
    <w:rsid w:val="005F1B17"/>
    <w:rsid w:val="006037C0"/>
    <w:rsid w:val="006631B6"/>
    <w:rsid w:val="00677278"/>
    <w:rsid w:val="00680577"/>
    <w:rsid w:val="006A4452"/>
    <w:rsid w:val="006F74FA"/>
    <w:rsid w:val="00731ADD"/>
    <w:rsid w:val="00734777"/>
    <w:rsid w:val="00747932"/>
    <w:rsid w:val="00751A4A"/>
    <w:rsid w:val="00756632"/>
    <w:rsid w:val="00762C74"/>
    <w:rsid w:val="00786EC0"/>
    <w:rsid w:val="00792467"/>
    <w:rsid w:val="007D1690"/>
    <w:rsid w:val="007E22AD"/>
    <w:rsid w:val="00817416"/>
    <w:rsid w:val="00842779"/>
    <w:rsid w:val="00865F67"/>
    <w:rsid w:val="00881A7B"/>
    <w:rsid w:val="008840E5"/>
    <w:rsid w:val="00887B3E"/>
    <w:rsid w:val="008C2AC6"/>
    <w:rsid w:val="008E1B5B"/>
    <w:rsid w:val="00930C23"/>
    <w:rsid w:val="0093193B"/>
    <w:rsid w:val="009509D8"/>
    <w:rsid w:val="00950B64"/>
    <w:rsid w:val="00981893"/>
    <w:rsid w:val="009A2302"/>
    <w:rsid w:val="00A1687D"/>
    <w:rsid w:val="00A43E52"/>
    <w:rsid w:val="00A4678D"/>
    <w:rsid w:val="00A778C7"/>
    <w:rsid w:val="00AB441E"/>
    <w:rsid w:val="00AB6293"/>
    <w:rsid w:val="00AE0928"/>
    <w:rsid w:val="00AF3B82"/>
    <w:rsid w:val="00B12E95"/>
    <w:rsid w:val="00B22876"/>
    <w:rsid w:val="00B558F0"/>
    <w:rsid w:val="00BA4CF5"/>
    <w:rsid w:val="00BD48FE"/>
    <w:rsid w:val="00BD7BD8"/>
    <w:rsid w:val="00BE6ADC"/>
    <w:rsid w:val="00C05BFE"/>
    <w:rsid w:val="00C23BC7"/>
    <w:rsid w:val="00C23CD4"/>
    <w:rsid w:val="00C3768E"/>
    <w:rsid w:val="00C61C0C"/>
    <w:rsid w:val="00C941CB"/>
    <w:rsid w:val="00C96851"/>
    <w:rsid w:val="00CC2357"/>
    <w:rsid w:val="00CD3D1A"/>
    <w:rsid w:val="00CF071A"/>
    <w:rsid w:val="00D058B8"/>
    <w:rsid w:val="00D05C80"/>
    <w:rsid w:val="00D31A09"/>
    <w:rsid w:val="00D33630"/>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695A"/>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44C5DE"/>
  <w15:chartTrackingRefBased/>
  <w15:docId w15:val="{70A751A0-ECD9-406C-89B5-5D7FB89C0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77278"/>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677278"/>
    <w:pPr>
      <w:keepNext/>
      <w:spacing w:after="480"/>
      <w:jc w:val="center"/>
    </w:pPr>
    <w:rPr>
      <w:rFonts w:ascii="Arial" w:hAnsi="Arial" w:cs="Arial"/>
      <w:b/>
    </w:rPr>
  </w:style>
  <w:style w:type="paragraph" w:customStyle="1" w:styleId="NormalHanging12a">
    <w:name w:val="NormalHanging12a"/>
    <w:basedOn w:val="Normal"/>
    <w:link w:val="NormalHanging12aChar"/>
    <w:rsid w:val="00677278"/>
    <w:pPr>
      <w:spacing w:after="240"/>
      <w:ind w:left="567" w:hanging="567"/>
    </w:pPr>
  </w:style>
  <w:style w:type="paragraph" w:styleId="Header">
    <w:name w:val="header"/>
    <w:basedOn w:val="Normal"/>
    <w:link w:val="HeaderChar"/>
    <w:rsid w:val="00677278"/>
    <w:pPr>
      <w:tabs>
        <w:tab w:val="center" w:pos="4513"/>
        <w:tab w:val="right" w:pos="9026"/>
      </w:tabs>
    </w:pPr>
  </w:style>
  <w:style w:type="character" w:customStyle="1" w:styleId="HeaderChar">
    <w:name w:val="Header Char"/>
    <w:basedOn w:val="DefaultParagraphFont"/>
    <w:link w:val="Header"/>
    <w:rsid w:val="00677278"/>
    <w:rPr>
      <w:sz w:val="24"/>
      <w:lang w:val="et-EE"/>
    </w:rPr>
  </w:style>
  <w:style w:type="paragraph" w:customStyle="1" w:styleId="EPFooter">
    <w:name w:val="EPFooter"/>
    <w:basedOn w:val="Normal"/>
    <w:rsid w:val="00677278"/>
    <w:pPr>
      <w:tabs>
        <w:tab w:val="center" w:pos="4535"/>
        <w:tab w:val="right" w:pos="9071"/>
      </w:tabs>
      <w:spacing w:before="240" w:after="240"/>
    </w:pPr>
    <w:rPr>
      <w:color w:val="010000"/>
      <w:sz w:val="22"/>
    </w:rPr>
  </w:style>
  <w:style w:type="paragraph" w:customStyle="1" w:styleId="EPComma">
    <w:name w:val="EPComma"/>
    <w:basedOn w:val="Normal"/>
    <w:rsid w:val="00677278"/>
    <w:pPr>
      <w:spacing w:before="480" w:after="240"/>
    </w:pPr>
  </w:style>
  <w:style w:type="character" w:styleId="Hyperlink">
    <w:name w:val="Hyperlink"/>
    <w:basedOn w:val="DefaultParagraphFont"/>
    <w:uiPriority w:val="99"/>
    <w:rsid w:val="00677278"/>
    <w:rPr>
      <w:color w:val="0563C1" w:themeColor="hyperlink"/>
      <w:u w:val="single"/>
    </w:rPr>
  </w:style>
  <w:style w:type="character" w:customStyle="1" w:styleId="NormalHanging12aChar">
    <w:name w:val="NormalHanging12a Char"/>
    <w:basedOn w:val="DefaultParagraphFont"/>
    <w:link w:val="NormalHanging12a"/>
    <w:locked/>
    <w:rsid w:val="00677278"/>
    <w:rPr>
      <w:sz w:val="24"/>
      <w:lang w:val="et-EE"/>
    </w:rPr>
  </w:style>
  <w:style w:type="character" w:customStyle="1" w:styleId="PageHeadingChar">
    <w:name w:val="PageHeading Char"/>
    <w:basedOn w:val="DefaultParagraphFont"/>
    <w:link w:val="PageHeading"/>
    <w:locked/>
    <w:rsid w:val="00677278"/>
    <w:rPr>
      <w:rFonts w:ascii="Arial" w:hAnsi="Arial" w:cs="Arial"/>
      <w:b/>
      <w:sz w:val="24"/>
      <w:lang w:val="et-EE"/>
    </w:rPr>
  </w:style>
  <w:style w:type="paragraph" w:styleId="Footer">
    <w:name w:val="footer"/>
    <w:basedOn w:val="Normal"/>
    <w:link w:val="FooterChar"/>
    <w:uiPriority w:val="99"/>
    <w:rsid w:val="00677278"/>
    <w:pPr>
      <w:tabs>
        <w:tab w:val="center" w:pos="4513"/>
        <w:tab w:val="right" w:pos="9026"/>
      </w:tabs>
    </w:pPr>
  </w:style>
  <w:style w:type="character" w:customStyle="1" w:styleId="FooterChar">
    <w:name w:val="Footer Char"/>
    <w:basedOn w:val="DefaultParagraphFont"/>
    <w:link w:val="Footer"/>
    <w:uiPriority w:val="99"/>
    <w:rsid w:val="00677278"/>
    <w:rPr>
      <w:sz w:val="24"/>
      <w:lang w:val="et-EE"/>
    </w:rPr>
  </w:style>
  <w:style w:type="paragraph" w:customStyle="1" w:styleId="Titreobjet">
    <w:name w:val="Titre objet"/>
    <w:basedOn w:val="Normal"/>
    <w:next w:val="Normal"/>
    <w:rsid w:val="00677278"/>
    <w:pPr>
      <w:widowControl/>
      <w:spacing w:before="360" w:after="360"/>
      <w:jc w:val="center"/>
    </w:pPr>
    <w:rPr>
      <w:rFonts w:eastAsiaTheme="minorHAnsi"/>
      <w:b/>
      <w:szCs w:val="22"/>
      <w:lang w:eastAsia="en-US"/>
    </w:rPr>
  </w:style>
  <w:style w:type="paragraph" w:customStyle="1" w:styleId="Fait">
    <w:name w:val="Fait à"/>
    <w:basedOn w:val="Normal"/>
    <w:next w:val="Institutionquisigne"/>
    <w:rsid w:val="00677278"/>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677278"/>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677278"/>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677278"/>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677278"/>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677278"/>
    <w:pPr>
      <w:widowControl/>
      <w:tabs>
        <w:tab w:val="left" w:pos="4252"/>
      </w:tabs>
    </w:pPr>
    <w:rPr>
      <w:rFonts w:eastAsiaTheme="minorHAnsi"/>
      <w:i/>
      <w:szCs w:val="22"/>
      <w:lang w:eastAsia="en-US"/>
    </w:rPr>
  </w:style>
  <w:style w:type="paragraph" w:customStyle="1" w:styleId="Titrearticle">
    <w:name w:val="Titre article"/>
    <w:basedOn w:val="Normal"/>
    <w:next w:val="Normal"/>
    <w:rsid w:val="00677278"/>
    <w:pPr>
      <w:keepNext/>
      <w:widowControl/>
      <w:spacing w:before="360" w:after="120"/>
      <w:jc w:val="center"/>
    </w:pPr>
    <w:rPr>
      <w:rFonts w:eastAsiaTheme="minorHAnsi"/>
      <w:i/>
      <w:szCs w:val="22"/>
      <w:lang w:eastAsia="en-US"/>
    </w:rPr>
  </w:style>
  <w:style w:type="paragraph" w:styleId="Revision">
    <w:name w:val="Revision"/>
    <w:hidden/>
    <w:uiPriority w:val="99"/>
    <w:semiHidden/>
    <w:rsid w:val="00FC695A"/>
    <w:rPr>
      <w:sz w:val="24"/>
      <w:lang w:val="et-EE"/>
    </w:rPr>
  </w:style>
  <w:style w:type="character" w:styleId="CommentReference">
    <w:name w:val="annotation reference"/>
    <w:basedOn w:val="DefaultParagraphFont"/>
    <w:rsid w:val="00307964"/>
    <w:rPr>
      <w:sz w:val="16"/>
      <w:szCs w:val="16"/>
    </w:rPr>
  </w:style>
  <w:style w:type="paragraph" w:styleId="CommentText">
    <w:name w:val="annotation text"/>
    <w:basedOn w:val="Normal"/>
    <w:link w:val="CommentTextChar"/>
    <w:rsid w:val="00307964"/>
    <w:rPr>
      <w:sz w:val="20"/>
    </w:rPr>
  </w:style>
  <w:style w:type="character" w:customStyle="1" w:styleId="CommentTextChar">
    <w:name w:val="Comment Text Char"/>
    <w:basedOn w:val="DefaultParagraphFont"/>
    <w:link w:val="CommentText"/>
    <w:rsid w:val="00307964"/>
    <w:rPr>
      <w:lang w:val="et-EE"/>
    </w:rPr>
  </w:style>
  <w:style w:type="paragraph" w:styleId="CommentSubject">
    <w:name w:val="annotation subject"/>
    <w:basedOn w:val="CommentText"/>
    <w:next w:val="CommentText"/>
    <w:link w:val="CommentSubjectChar"/>
    <w:rsid w:val="00307964"/>
    <w:rPr>
      <w:b/>
      <w:bCs/>
    </w:rPr>
  </w:style>
  <w:style w:type="character" w:customStyle="1" w:styleId="CommentSubjectChar">
    <w:name w:val="Comment Subject Char"/>
    <w:basedOn w:val="CommentTextChar"/>
    <w:link w:val="CommentSubject"/>
    <w:rsid w:val="00307964"/>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1269</Words>
  <Characters>9400</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LEPLER Laura</cp:lastModifiedBy>
  <cp:revision>2</cp:revision>
  <cp:lastPrinted>2004-11-19T15:42:00Z</cp:lastPrinted>
  <dcterms:created xsi:type="dcterms:W3CDTF">2026-05-12T09:08:00Z</dcterms:created>
  <dcterms:modified xsi:type="dcterms:W3CDTF">2026-05-12T09:08:00Z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P10_TA(2026)0102_</vt:lpwstr>
  </property>
  <property fmtid="{D5CDD505-2E9C-101B-9397-08002B2CF9AE}" pid="4" name="&lt;Type&gt;">
    <vt:lpwstr>RR</vt:lpwstr>
  </property>
</Properties>
</file>