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3A2F" w14:paraId="2E4B2BE6" w14:textId="77777777" w:rsidTr="0010095E">
        <w:trPr>
          <w:trHeight w:hRule="exact" w:val="1418"/>
        </w:trPr>
        <w:tc>
          <w:tcPr>
            <w:tcW w:w="6804" w:type="dxa"/>
            <w:shd w:val="clear" w:color="auto" w:fill="auto"/>
            <w:vAlign w:val="center"/>
          </w:tcPr>
          <w:p w14:paraId="54791EB3" w14:textId="77777777" w:rsidR="00751A4A" w:rsidRPr="009E3A2F" w:rsidRDefault="00B71864" w:rsidP="0010095E">
            <w:pPr>
              <w:pStyle w:val="EPName"/>
            </w:pPr>
            <w:r w:rsidRPr="009E3A2F">
              <w:t>Euroopan parlamentti</w:t>
            </w:r>
          </w:p>
          <w:p w14:paraId="459B951D" w14:textId="77777777" w:rsidR="00751A4A" w:rsidRPr="009E3A2F" w:rsidRDefault="005F1B17" w:rsidP="005F1B17">
            <w:pPr>
              <w:pStyle w:val="EPTerm"/>
              <w:rPr>
                <w:rStyle w:val="HideTWBExt"/>
                <w:noProof w:val="0"/>
                <w:vanish w:val="0"/>
                <w:color w:val="auto"/>
              </w:rPr>
            </w:pPr>
            <w:r w:rsidRPr="009E3A2F">
              <w:t>2024</w:t>
            </w:r>
            <w:r w:rsidR="00817416" w:rsidRPr="009E3A2F">
              <w:t>-202</w:t>
            </w:r>
            <w:r w:rsidRPr="009E3A2F">
              <w:t>9</w:t>
            </w:r>
          </w:p>
        </w:tc>
        <w:tc>
          <w:tcPr>
            <w:tcW w:w="2268" w:type="dxa"/>
            <w:shd w:val="clear" w:color="auto" w:fill="auto"/>
          </w:tcPr>
          <w:p w14:paraId="7CB45C70" w14:textId="77777777" w:rsidR="00751A4A" w:rsidRPr="009E3A2F" w:rsidRDefault="00187494" w:rsidP="0010095E">
            <w:pPr>
              <w:pStyle w:val="EPLogo"/>
            </w:pPr>
            <w:r w:rsidRPr="009E3A2F">
              <w:rPr>
                <w:noProof/>
                <w:lang w:eastAsia="ja-JP"/>
              </w:rPr>
              <w:drawing>
                <wp:inline distT="0" distB="0" distL="0" distR="0" wp14:anchorId="7920D3CD" wp14:editId="7B6A4F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DFF019" w14:textId="77777777" w:rsidR="00D058B8" w:rsidRPr="009E3A2F" w:rsidRDefault="00D058B8" w:rsidP="004C5D52">
      <w:pPr>
        <w:pStyle w:val="LineTop"/>
      </w:pPr>
    </w:p>
    <w:p w14:paraId="6E0AA4E1" w14:textId="77777777" w:rsidR="00680577" w:rsidRPr="009E3A2F" w:rsidRDefault="00B71864" w:rsidP="00680577">
      <w:pPr>
        <w:pStyle w:val="EPBodyTA1"/>
      </w:pPr>
      <w:r w:rsidRPr="009E3A2F">
        <w:t>HYVÄKSYTYT TEKSTIT</w:t>
      </w:r>
    </w:p>
    <w:p w14:paraId="2964359D" w14:textId="77777777" w:rsidR="00D058B8" w:rsidRPr="009E3A2F" w:rsidRDefault="00D058B8" w:rsidP="00D058B8">
      <w:pPr>
        <w:pStyle w:val="LineBottom"/>
      </w:pPr>
    </w:p>
    <w:p w14:paraId="046994D7" w14:textId="14CD31D2" w:rsidR="00B71864" w:rsidRPr="009E3A2F" w:rsidRDefault="00B71864" w:rsidP="00B71864">
      <w:pPr>
        <w:pStyle w:val="ATHeading1"/>
      </w:pPr>
      <w:bookmarkStart w:id="0" w:name="TANumber"/>
      <w:r w:rsidRPr="009E3A2F">
        <w:t>P10_TA(2026)0</w:t>
      </w:r>
      <w:r w:rsidR="00B22E95">
        <w:t>102</w:t>
      </w:r>
      <w:bookmarkEnd w:id="0"/>
    </w:p>
    <w:p w14:paraId="617FB68C" w14:textId="706477F9" w:rsidR="00B71864" w:rsidRPr="009E3A2F" w:rsidRDefault="00D41FE6" w:rsidP="00D41FE6">
      <w:pPr>
        <w:pStyle w:val="ATHeading2"/>
      </w:pPr>
      <w:bookmarkStart w:id="1" w:name="title"/>
      <w:r w:rsidRPr="009E3A2F">
        <w:rPr>
          <w:bCs/>
        </w:rPr>
        <w:t>Työttömiksi jääneitä työntekijöitä tukevan Euroopan globalisaatiorahaston varojen käyttöönotto: hakemus EGF/2025/007 BE/Casa – Belgia</w:t>
      </w:r>
      <w:bookmarkEnd w:id="1"/>
    </w:p>
    <w:p w14:paraId="7B8B0CC5" w14:textId="77777777" w:rsidR="00B71864" w:rsidRPr="009E3A2F" w:rsidRDefault="00B71864" w:rsidP="00B71864">
      <w:pPr>
        <w:rPr>
          <w:i/>
          <w:vanish/>
        </w:rPr>
      </w:pPr>
      <w:r w:rsidRPr="009E3A2F">
        <w:rPr>
          <w:i/>
        </w:rPr>
        <w:fldChar w:fldCharType="begin"/>
      </w:r>
      <w:r w:rsidRPr="009E3A2F">
        <w:rPr>
          <w:i/>
        </w:rPr>
        <w:instrText xml:space="preserve"> TC"(</w:instrText>
      </w:r>
      <w:bookmarkStart w:id="2" w:name="DocNumber"/>
      <w:r w:rsidRPr="009E3A2F">
        <w:rPr>
          <w:i/>
        </w:rPr>
        <w:instrText>A10-0061/2026</w:instrText>
      </w:r>
      <w:bookmarkEnd w:id="2"/>
      <w:r w:rsidRPr="009E3A2F">
        <w:rPr>
          <w:i/>
        </w:rPr>
        <w:instrText xml:space="preserve"> - Esittelijä: Hélder Sousa Silva)"\l3 \n&gt; \* MERGEFORMAT </w:instrText>
      </w:r>
      <w:r w:rsidRPr="009E3A2F">
        <w:rPr>
          <w:i/>
        </w:rPr>
        <w:fldChar w:fldCharType="end"/>
      </w:r>
    </w:p>
    <w:p w14:paraId="2075E1B2" w14:textId="77777777" w:rsidR="00B71864" w:rsidRPr="009E3A2F" w:rsidRDefault="00B71864" w:rsidP="00B71864">
      <w:pPr>
        <w:rPr>
          <w:vanish/>
        </w:rPr>
      </w:pPr>
      <w:bookmarkStart w:id="3" w:name="Commission"/>
      <w:r w:rsidRPr="009E3A2F">
        <w:rPr>
          <w:vanish/>
        </w:rPr>
        <w:t>Budjettivaliokunta</w:t>
      </w:r>
      <w:bookmarkEnd w:id="3"/>
    </w:p>
    <w:p w14:paraId="65603484" w14:textId="77777777" w:rsidR="00B71864" w:rsidRPr="009E3A2F" w:rsidRDefault="00B71864" w:rsidP="00B71864">
      <w:pPr>
        <w:rPr>
          <w:vanish/>
        </w:rPr>
      </w:pPr>
      <w:bookmarkStart w:id="4" w:name="PE"/>
      <w:r w:rsidRPr="009E3A2F">
        <w:rPr>
          <w:vanish/>
        </w:rPr>
        <w:t>PE784.477</w:t>
      </w:r>
      <w:bookmarkEnd w:id="4"/>
    </w:p>
    <w:p w14:paraId="36CB9767" w14:textId="67FB6E34" w:rsidR="00B71864" w:rsidRPr="009E3A2F" w:rsidRDefault="00B71864" w:rsidP="00B71864">
      <w:pPr>
        <w:pStyle w:val="ATHeading3"/>
      </w:pPr>
      <w:bookmarkStart w:id="5" w:name="Sujet"/>
      <w:r w:rsidRPr="009E3A2F">
        <w:t xml:space="preserve">Euroopan parlamentin päätöslauselma </w:t>
      </w:r>
      <w:r w:rsidR="00D41FE6" w:rsidRPr="009E3A2F">
        <w:t>26</w:t>
      </w:r>
      <w:r w:rsidRPr="009E3A2F">
        <w:t>. maaliskuuta 2026 ehdotuksesta Euroopan parlamentin ja neuvoston päätökseksi työttömiksi jääneitä työntekijöitä tukevan Euroopan globalisaatiorahaston varojen käyttöönotosta Belgian hakemuksen johdosta – EGF/2025/007 BE/Casa</w:t>
      </w:r>
      <w:bookmarkEnd w:id="5"/>
      <w:r w:rsidRPr="009E3A2F">
        <w:t xml:space="preserve"> </w:t>
      </w:r>
      <w:bookmarkStart w:id="6" w:name="References"/>
      <w:r w:rsidRPr="009E3A2F">
        <w:t>(COM(2026)0003 – C10-0025/2026 – 2026/0038(BUD))</w:t>
      </w:r>
      <w:bookmarkEnd w:id="6"/>
    </w:p>
    <w:p w14:paraId="232567EF" w14:textId="77777777" w:rsidR="004B2C7F" w:rsidRPr="009E3A2F" w:rsidRDefault="004B2C7F" w:rsidP="004B2C7F">
      <w:pPr>
        <w:pStyle w:val="EPComma"/>
        <w:widowControl/>
        <w:rPr>
          <w:noProof/>
        </w:rPr>
      </w:pPr>
      <w:r w:rsidRPr="009E3A2F">
        <w:rPr>
          <w:i/>
          <w:iCs/>
        </w:rPr>
        <w:t>Euroopan parlamentti</w:t>
      </w:r>
      <w:r w:rsidRPr="009E3A2F">
        <w:t>, joka</w:t>
      </w:r>
    </w:p>
    <w:p w14:paraId="6D1113CA" w14:textId="77777777" w:rsidR="004B2C7F" w:rsidRPr="009E3A2F" w:rsidRDefault="004B2C7F" w:rsidP="00D828E9">
      <w:pPr>
        <w:pStyle w:val="NormalHanging12a"/>
        <w:widowControl/>
        <w:rPr>
          <w:noProof/>
        </w:rPr>
      </w:pPr>
      <w:r w:rsidRPr="009E3A2F">
        <w:t>–</w:t>
      </w:r>
      <w:r w:rsidRPr="009E3A2F">
        <w:tab/>
        <w:t>ottaa huomioon komission ehdotuksen Euroopan parlamentille ja neuvostolle (COM(2026)0003 – C10-0025/2026),</w:t>
      </w:r>
    </w:p>
    <w:p w14:paraId="43310FAA" w14:textId="33BFB614" w:rsidR="004B2C7F" w:rsidRPr="009E3A2F" w:rsidRDefault="004B2C7F" w:rsidP="00D828E9">
      <w:pPr>
        <w:pStyle w:val="NormalHanging12a"/>
        <w:widowControl/>
      </w:pPr>
      <w:r w:rsidRPr="009E3A2F">
        <w:t>–</w:t>
      </w:r>
      <w:r w:rsidRPr="009E3A2F">
        <w:tab/>
        <w:t>ottaa huomioon Euroopan globalisaatiorahastosta (EGR) työttömiksi jääneille työntekijöille ja asetuksen (EU) N:o 1309/2013 kumoamisesta 28. huhtikuuta 2021 annetun Euroopan parlamentin ja neuvoston asetuksen (EU) 2021/691</w:t>
      </w:r>
      <w:r w:rsidRPr="009E3A2F">
        <w:rPr>
          <w:rStyle w:val="FootnoteReference"/>
        </w:rPr>
        <w:footnoteReference w:id="1"/>
      </w:r>
      <w:r w:rsidRPr="009E3A2F">
        <w:t>, jäljempänä ’EGR-asetus’,</w:t>
      </w:r>
    </w:p>
    <w:p w14:paraId="4C32BA29" w14:textId="77777777" w:rsidR="004B2C7F" w:rsidRPr="009E3A2F" w:rsidRDefault="004B2C7F" w:rsidP="00D828E9">
      <w:pPr>
        <w:pStyle w:val="NormalHanging12a"/>
        <w:widowControl/>
        <w:rPr>
          <w:noProof/>
        </w:rPr>
      </w:pPr>
      <w:r w:rsidRPr="009E3A2F">
        <w:t>–</w:t>
      </w:r>
      <w:r w:rsidRPr="009E3A2F">
        <w:tab/>
        <w:t>ottaa huomioon vuosia 2021–2027 koskevan monivuotisen rahoituskehyksen vahvistamisesta 17. joulukuuta 2020 annetun neuvoston asetuksen (EU, Euratom) 2020/2093</w:t>
      </w:r>
      <w:r w:rsidRPr="009E3A2F">
        <w:rPr>
          <w:rStyle w:val="FootnoteReference"/>
        </w:rPr>
        <w:footnoteReference w:id="2"/>
      </w:r>
      <w:r w:rsidRPr="009E3A2F">
        <w:t>, sellaisena kuin se on muutettuna asetuksella (EU, Euratom) 2024/765</w:t>
      </w:r>
      <w:r w:rsidRPr="009E3A2F">
        <w:rPr>
          <w:rStyle w:val="FootnoteReference"/>
        </w:rPr>
        <w:footnoteReference w:id="3"/>
      </w:r>
      <w:r w:rsidRPr="009E3A2F">
        <w:t xml:space="preserve">, jäljempänä ’rahoituskehysasetus’, ja erityisesti sen 8 artiklan, </w:t>
      </w:r>
    </w:p>
    <w:p w14:paraId="511C82B9" w14:textId="77777777" w:rsidR="004B2C7F" w:rsidRPr="009E3A2F" w:rsidRDefault="004B2C7F" w:rsidP="00D828E9">
      <w:pPr>
        <w:pStyle w:val="NormalHanging12a"/>
        <w:widowControl/>
        <w:rPr>
          <w:noProof/>
        </w:rPr>
      </w:pPr>
      <w:r w:rsidRPr="009E3A2F">
        <w:t>–</w:t>
      </w:r>
      <w:r w:rsidRPr="009E3A2F">
        <w:tab/>
        <w:t xml:space="preserve">ottaa huomioon talousarviota koskevasta kurinalaisuudesta, talousarvioyhteistyöstä ja moitteettomasta varainhoidosta sekä uusista omista varoista, mukaan lukien etenemissuunnitelma uusien omien varojen käyttöönottamiseksi, 16. joulukuuta 2020 </w:t>
      </w:r>
      <w:r w:rsidRPr="009E3A2F">
        <w:lastRenderedPageBreak/>
        <w:t>tehdyn Euroopan parlamentin, Euroopan unionin neuvoston ja Euroopan komission välisen toimielinten sopimuksen</w:t>
      </w:r>
      <w:r w:rsidRPr="009E3A2F">
        <w:rPr>
          <w:rStyle w:val="FootnoteReference"/>
          <w:noProof/>
        </w:rPr>
        <w:footnoteReference w:id="4"/>
      </w:r>
      <w:r w:rsidRPr="009E3A2F">
        <w:t xml:space="preserve"> ja erityisesti sen 9 kohdan,</w:t>
      </w:r>
    </w:p>
    <w:p w14:paraId="4DCFC627" w14:textId="77777777" w:rsidR="004B2C7F" w:rsidRPr="009E3A2F" w:rsidRDefault="004B2C7F" w:rsidP="00D828E9">
      <w:pPr>
        <w:pStyle w:val="NormalHanging12a"/>
        <w:widowControl/>
      </w:pPr>
      <w:r w:rsidRPr="009E3A2F">
        <w:t>–</w:t>
      </w:r>
      <w:r w:rsidRPr="009E3A2F">
        <w:tab/>
        <w:t>ottaa huomioon Euroopan sosiaalisten oikeuksien pilarin,</w:t>
      </w:r>
    </w:p>
    <w:p w14:paraId="36F1A2EE" w14:textId="77777777" w:rsidR="004B2C7F" w:rsidRPr="009E3A2F" w:rsidRDefault="004B2C7F" w:rsidP="00D828E9">
      <w:pPr>
        <w:pStyle w:val="NormalHanging12a"/>
        <w:widowControl/>
      </w:pPr>
      <w:r w:rsidRPr="009E3A2F">
        <w:t>–</w:t>
      </w:r>
      <w:r w:rsidRPr="009E3A2F">
        <w:tab/>
        <w:t>ottaa huomioon työllisyyden ja sosiaaliasioiden valiokunnan kirjeen,</w:t>
      </w:r>
    </w:p>
    <w:p w14:paraId="6F04595A" w14:textId="77777777" w:rsidR="004B2C7F" w:rsidRPr="009E3A2F" w:rsidRDefault="004B2C7F" w:rsidP="00D828E9">
      <w:pPr>
        <w:pStyle w:val="NormalHanging12a"/>
        <w:widowControl/>
      </w:pPr>
      <w:r w:rsidRPr="009E3A2F">
        <w:t>–</w:t>
      </w:r>
      <w:r w:rsidRPr="009E3A2F">
        <w:tab/>
        <w:t>ottaa huomioon budjettivaliokunnan mietinnön (A10-0061/2026),</w:t>
      </w:r>
    </w:p>
    <w:p w14:paraId="14E4CA2F" w14:textId="77777777" w:rsidR="004B2C7F" w:rsidRPr="009E3A2F" w:rsidRDefault="004B2C7F" w:rsidP="00D828E9">
      <w:pPr>
        <w:pStyle w:val="NormalHanging12a"/>
        <w:widowControl/>
        <w:rPr>
          <w:noProof/>
        </w:rPr>
      </w:pPr>
      <w:r w:rsidRPr="009E3A2F">
        <w:t>A.</w:t>
      </w:r>
      <w:r w:rsidRPr="009E3A2F">
        <w:tab/>
        <w:t>ottaa huomioon, että EU on ottanut käyttöön lainsäädäntö- ja budjettivälineitä tarjotakseen lisätukea työntekijöille, jotka kärsivät maailmankaupan huomattavien rakenteellisten tapahtumien ja muutosten seurauksista, ja auttaakseen heitä palaamaan työmarkkinoille; toteaa, että tuki annetaan rahoitustukena työntekijöille;</w:t>
      </w:r>
    </w:p>
    <w:p w14:paraId="282D238D" w14:textId="77777777" w:rsidR="004B2C7F" w:rsidRPr="009E3A2F" w:rsidRDefault="004B2C7F" w:rsidP="00D828E9">
      <w:pPr>
        <w:pStyle w:val="NormalHanging12a"/>
        <w:widowControl/>
      </w:pPr>
      <w:r w:rsidRPr="009E3A2F">
        <w:t>B.</w:t>
      </w:r>
      <w:r w:rsidRPr="009E3A2F">
        <w:tab/>
        <w:t>ottaa huomioon, että Belgia jätti hakemuksen EGF/2025/007 BE/Casa EGR:n rahoitustuen saamiseksi sen jälkeen, kun Belgiassa Flanderin alueella sijaitsevassa Antwerpenin provinssissa (BE21) toimivasta Casa International NV -yrityksestä, jäljempänä ’Casa’, oli vähennetty 416 työntekijää</w:t>
      </w:r>
      <w:r w:rsidRPr="009E3A2F">
        <w:rPr>
          <w:rStyle w:val="FootnoteReference"/>
        </w:rPr>
        <w:footnoteReference w:id="5"/>
      </w:r>
      <w:r w:rsidRPr="009E3A2F">
        <w:t xml:space="preserve"> viiteajanjaksolla 6. maaliskuuta 2025 – 6. heinäkuuta 2025 toimialoilla, jotka on luokiteltu NACE Rev. 2:n kaksinumerotasolle 47 (Vähittäiskauppa pl. moottoriajoneuvojen ja moottoripyörien kauppa) ja kaksinumerotasolle 52 (Varastointi ja liikennettä palveleva toiminta);</w:t>
      </w:r>
    </w:p>
    <w:p w14:paraId="66B98DB8" w14:textId="77777777" w:rsidR="004B2C7F" w:rsidRPr="009E3A2F" w:rsidRDefault="004B2C7F" w:rsidP="00D828E9">
      <w:pPr>
        <w:pStyle w:val="NormalHanging12a"/>
        <w:widowControl/>
      </w:pPr>
      <w:r w:rsidRPr="009E3A2F">
        <w:t>C.</w:t>
      </w:r>
      <w:r w:rsidRPr="009E3A2F">
        <w:tab/>
        <w:t>ottaa huomioon, että hakemus perustuu EGR-asetuksen 4 artiklan 2 kohdan a alakohdan toimintakriteeriin; toteaa, että työntekijävähennyksistä 257 kohdistuu yritykseen Casa International NV (vähittäiskauppa), jolla on 65 vähittäismyymälää eri puolilla Belgiaa, ja 159 kohdistuu yritykseen Casa Logistics NV (varastointi), joka vastaa varastoinnista ja jakelusta näihin myymälöihin;</w:t>
      </w:r>
    </w:p>
    <w:p w14:paraId="777EC034" w14:textId="77777777" w:rsidR="004B2C7F" w:rsidRPr="009E3A2F" w:rsidRDefault="004B2C7F" w:rsidP="00D828E9">
      <w:pPr>
        <w:pStyle w:val="NormalHanging12a"/>
        <w:widowControl/>
        <w:rPr>
          <w:noProof/>
        </w:rPr>
      </w:pPr>
      <w:r w:rsidRPr="009E3A2F">
        <w:t>D.</w:t>
      </w:r>
      <w:r w:rsidRPr="009E3A2F">
        <w:tab/>
        <w:t>ottaa huomioon, että Casa hakeutui konkurssiin 6. maaliskuuta 2025; ottaa huomioon, että konkurssit ovat lisääntyneet Belgiassa vuodesta 2022 alkaen erityisesti vähittäiskaupan alalla, jolla on käynnissä syvällinen rakennemuutos, joka johtuu verkkokaupan kasvusta ja kulutustottumusten muuttumisesta; ottaa huomioon, että naisten osuus työvoimasta on tässä tapauksessa 67,5 prosenttia; korostaa sen vuoksi, että EGR:stä rahoitettavissa tukitoimenpiteissä olisi otettava huomioon erityisesti naisten tarpeet ja heidän kohtaamansa haasteet työmarkkinoille palaamisessa;</w:t>
      </w:r>
    </w:p>
    <w:p w14:paraId="54A08E77" w14:textId="77777777" w:rsidR="004B2C7F" w:rsidRPr="009E3A2F" w:rsidRDefault="004B2C7F" w:rsidP="00D828E9">
      <w:pPr>
        <w:pStyle w:val="NormalHanging12a"/>
        <w:widowControl/>
      </w:pPr>
      <w:r w:rsidRPr="009E3A2F">
        <w:t>E.</w:t>
      </w:r>
      <w:r w:rsidRPr="009E3A2F">
        <w:tab/>
        <w:t>ottaa huomioon, että Flanderin työvoima- ja ammattikoulutuspalvelu (VDAB) tarjoaa kansallista ennakkorahoitusta ja yhteisrahoitusta kyseisiä toimenpiteitä varten;</w:t>
      </w:r>
    </w:p>
    <w:p w14:paraId="2E864393" w14:textId="77777777" w:rsidR="004B2C7F" w:rsidRPr="009E3A2F" w:rsidRDefault="004B2C7F" w:rsidP="00D828E9">
      <w:pPr>
        <w:pStyle w:val="NormalHanging12a"/>
        <w:widowControl/>
      </w:pPr>
      <w:r w:rsidRPr="009E3A2F">
        <w:t>F.</w:t>
      </w:r>
      <w:r w:rsidRPr="009E3A2F">
        <w:tab/>
        <w:t>ottaa huomioon, että asianosaiset yritykset ovat noudattaneet kansallisessa ja EU:n lainsäädännössä säädettyjä joukkovähentämisiin liittyviä vaatimuksia;</w:t>
      </w:r>
    </w:p>
    <w:p w14:paraId="6FDB17CB" w14:textId="77777777" w:rsidR="004B2C7F" w:rsidRPr="009E3A2F" w:rsidRDefault="004B2C7F" w:rsidP="00D828E9">
      <w:pPr>
        <w:pStyle w:val="NormalHanging12a"/>
        <w:widowControl/>
      </w:pPr>
      <w:r w:rsidRPr="009E3A2F">
        <w:t>G.</w:t>
      </w:r>
      <w:r w:rsidRPr="009E3A2F">
        <w:tab/>
        <w:t>toteaa, että EGR:n rahoitustuki olisi keskitettävä ensisijaisesti aktiivisiin työvoimapoliittisiin toimenpiteisiin ja yksilöllisiin palveluihin, joilla pyritään auttamaan edunsaajia palaamaan nopeasti työmarkkinoille siten, että heille tarjotaan työmarkkinoille pääsyä helpottavien taitojen koulutusta;</w:t>
      </w:r>
    </w:p>
    <w:p w14:paraId="432CCC32" w14:textId="77777777" w:rsidR="004B2C7F" w:rsidRPr="009E3A2F" w:rsidRDefault="004B2C7F" w:rsidP="00D828E9">
      <w:pPr>
        <w:pStyle w:val="NormalHanging12a"/>
        <w:widowControl/>
      </w:pPr>
      <w:r w:rsidRPr="009E3A2F">
        <w:lastRenderedPageBreak/>
        <w:t>H.</w:t>
      </w:r>
      <w:r w:rsidRPr="009E3A2F">
        <w:tab/>
        <w:t>ottaa huomioon, että EGR ei saa ylittää 30 miljoonan euron vuotuista enimmäismäärää (vuoden 2018 hintoina)</w:t>
      </w:r>
      <w:r w:rsidRPr="009E3A2F">
        <w:rPr>
          <w:rStyle w:val="FootnoteReference"/>
        </w:rPr>
        <w:footnoteReference w:id="6"/>
      </w:r>
      <w:r w:rsidRPr="009E3A2F">
        <w:t>;</w:t>
      </w:r>
    </w:p>
    <w:p w14:paraId="28A260F9" w14:textId="77777777" w:rsidR="004B2C7F" w:rsidRPr="009E3A2F" w:rsidRDefault="004B2C7F" w:rsidP="00D828E9">
      <w:pPr>
        <w:pStyle w:val="NormalHanging12a"/>
        <w:widowControl/>
      </w:pPr>
      <w:r w:rsidRPr="009E3A2F">
        <w:t>1.</w:t>
      </w:r>
      <w:r w:rsidRPr="009E3A2F">
        <w:tab/>
        <w:t>on yhtä mieltä komission kanssa siitä, että EGR-asetuksessa ja erityisesti sen 4 artiklan 2 kohdan a alakohdassa säädetyt edellytykset täyttyvät ja että Belgia on oikeutettu saamaan kyseisen asetuksen mukaista rahoitustukea 1 916 733 euroa eli 85 prosenttia 2 254 980 euron kokonaiskustannuksista, joista yksilöllisten palvelujen osuus on 2 168 980 euroa ja valmistelu-, hallinnointi-, tiedotus-, mainonta-, valvonta- ja raportointitoimien osuus 86 000 euroa;</w:t>
      </w:r>
    </w:p>
    <w:p w14:paraId="786EFCE1" w14:textId="77777777" w:rsidR="004B2C7F" w:rsidRPr="009E3A2F" w:rsidRDefault="004B2C7F" w:rsidP="00D828E9">
      <w:pPr>
        <w:pStyle w:val="NormalHanging12a"/>
        <w:widowControl/>
      </w:pPr>
      <w:r w:rsidRPr="009E3A2F">
        <w:t>2.</w:t>
      </w:r>
      <w:r w:rsidRPr="009E3A2F">
        <w:tab/>
        <w:t>toteaa, että Belgian viranomaiset jättivät hakemuksen 23. syyskuuta 2025 ja että Belgian toimitettua lisätietoja komissio sai hakemusta koskevan arvionsa valmiiksi 6. helmikuuta 2026 ja ilmoitti asiasta parlamentille 11. helmikuuta 2026; korostaa, että on tärkeää lyhentää EGR-tukihakemuksen jättämisen ja rahoituspäätöksen välistä aikaa ja samalla turvata täysin Euroopan parlamentin oikeudet yhtenä budjettivallan käyttäjänä;</w:t>
      </w:r>
    </w:p>
    <w:p w14:paraId="54E84E6E" w14:textId="77777777" w:rsidR="004B2C7F" w:rsidRPr="009E3A2F" w:rsidRDefault="004B2C7F" w:rsidP="00D828E9">
      <w:pPr>
        <w:pStyle w:val="NormalHanging12a"/>
        <w:widowControl/>
      </w:pPr>
      <w:r w:rsidRPr="009E3A2F">
        <w:t>3.</w:t>
      </w:r>
      <w:r w:rsidRPr="009E3A2F">
        <w:tab/>
        <w:t>toteaa, että hakemus koskee työntekijöitä, joiden työsuhde päättyi Casa-konsortion kahdessa yrityksessä, ja että he kaikki ovat kohteena olevia edunsaajia;</w:t>
      </w:r>
    </w:p>
    <w:p w14:paraId="6F15B430" w14:textId="77777777" w:rsidR="004B2C7F" w:rsidRPr="009E3A2F" w:rsidRDefault="004B2C7F" w:rsidP="00D828E9">
      <w:pPr>
        <w:pStyle w:val="NormalHanging12a"/>
        <w:widowControl/>
      </w:pPr>
      <w:r w:rsidRPr="009E3A2F">
        <w:t>4.</w:t>
      </w:r>
      <w:r w:rsidRPr="009E3A2F">
        <w:tab/>
        <w:t>panee merkille, että Casa oli useita vuosia ennen konkurssihakemusta taloudellisissa vaikeuksissa, jotka johtuivat verkkokaupan kasvusta, kiristyneestä kansainvälisestä kilpailusta ja epäoikeudenmukaisista kilpailuolosuhteista, ja että tämä lopulta johti vakavaan likviditeettivajeeseen ja vaikeuteen löytää mahdollisia ostajia yritykselle; korostaa tarvetta parantaa liikkeenjohdon valmiuksia ehkäistä irtisanomisia mukautumalla nykyiseen geopoliittiseen tilanteeseen ja selviytyä ennakoivasti merkittävistä rakenneuudistuksista;</w:t>
      </w:r>
    </w:p>
    <w:p w14:paraId="2EAE9AA9" w14:textId="77777777" w:rsidR="004B2C7F" w:rsidRPr="009E3A2F" w:rsidRDefault="004B2C7F" w:rsidP="00D828E9">
      <w:pPr>
        <w:pStyle w:val="NormalHanging12a"/>
        <w:widowControl/>
        <w:rPr>
          <w:noProof/>
        </w:rPr>
      </w:pPr>
      <w:r w:rsidRPr="009E3A2F">
        <w:t>5.</w:t>
      </w:r>
      <w:r w:rsidRPr="009E3A2F">
        <w:tab/>
        <w:t>panee merkille, että työttömiksi jääneillä myyjillä on paremmat työllisyysnäkymät verrattuna varastotyöntekijöihin, joiden on vaikeampaa löytää uusia työpaikkoja ja jotka tarvitsevat lisätukea täydennyskoulutuksen ja uudelleenkoulutuksen, uudelleensijoitusten tai uudelleenjärjestelyjen muodossa; kehottaa Belgian viranomaisia tarjoamaan räätälöityä erityistukea, jotta työntekijöitä voidaan auttaa korjaamaan puutteet osaamisessaan ja löytämään uuden työpaikan työmarkkinoiden tarpeiden mukaisesti; korostaa, että irtisanottujen työntekijöiden paluu työmarkkinoille on keskeistä tulevaisuuden vaatimukset huomioon ottavalle Euroopan taloudelle, jolla on vahva teollinen perusta;</w:t>
      </w:r>
    </w:p>
    <w:p w14:paraId="7B701DBB" w14:textId="77777777" w:rsidR="004B2C7F" w:rsidRPr="009E3A2F" w:rsidRDefault="004B2C7F" w:rsidP="00D828E9">
      <w:pPr>
        <w:pStyle w:val="NormalHanging12a"/>
        <w:widowControl/>
      </w:pPr>
      <w:r w:rsidRPr="009E3A2F">
        <w:t>6.</w:t>
      </w:r>
      <w:r w:rsidRPr="009E3A2F">
        <w:tab/>
        <w:t>pitää valitettavana, että konkurssien lisääntyminen kahden viime vuoden aikana on laskenut työllisyysastetta joillakin Belgian alueilla, erityisesti Brysselissä ja Olenissa (Antwerpenin provinssissa); toteaa, että konkurssien vuoksi Belgiassa, pääosin Flanderissa, hävisi 18 kuukauden ajanjaksolla noin 45 000 työpaikkaa; painottaa, että matalasti koulutettujen työttömyysriski on Flanderissa yli kaksinkertainen; korostaa yritysystävällisen toimintaympäristön merkitystä, jotta yritysten kilpailukyky säilyy, työpaikkoja syntyy ja talouskasvu on kestävää;</w:t>
      </w:r>
    </w:p>
    <w:p w14:paraId="1731950F" w14:textId="77777777" w:rsidR="004B2C7F" w:rsidRPr="009E3A2F" w:rsidRDefault="004B2C7F" w:rsidP="00D828E9">
      <w:pPr>
        <w:pStyle w:val="NormalHanging12a"/>
        <w:widowControl/>
      </w:pPr>
      <w:r w:rsidRPr="009E3A2F">
        <w:t>7.</w:t>
      </w:r>
      <w:r w:rsidRPr="009E3A2F">
        <w:tab/>
        <w:t xml:space="preserve">muistuttaa, että työntekijöille on tarjottava asiantuntijoiden ja työmarkkinaosapuolten kanssa sovitun mukaisesti yksilöllisten palvelujen paketti, joka koostuu seuraavista toimenpiteistä: tiedotustilaisuudet, joissa ohjataan työelämään palaamisessa; uudelleensijoituspalvelut, joissa työtekijöitä opastetaan työhaussa; aktiivinen </w:t>
      </w:r>
      <w:r w:rsidRPr="009E3A2F">
        <w:lastRenderedPageBreak/>
        <w:t>työnvälitys, joka kohdennetaan jokaisen työhakijan profiilin mukaan; yksilölliset taitojen kehittämisen ohjelmat, mukaan lukien tietotekniset taidot; koulutus ja uudelleenkoulutus; yksilöllinen työpaikalla annettava koulutus; osallistuminen työpaikkamessuille; korostaa korkealaatuisten, tulevaisuuteen suuntaavien, kilpailukykyä vahvistavien ja digitaalista siirtymää tukevien työpaikkojen merkitystä ja sen varmistamista, että EGR-asetus pannaan asianmukaisesti täytäntöön ja että sillä lisätään unionin pitkän aikavälin taloudellista ja sosiaalista häiriönsietokykyä; korostaa, että työmarkkinaosapuolet olisi otettava mukaan kaikkien EGR:n toimenpiteiden täytäntöönpanoon, myös seurantavaiheeseen, jotta varmistetaan edunsaajille tarjottavan tuen laatu ja merkityksellisyys;</w:t>
      </w:r>
    </w:p>
    <w:p w14:paraId="64301951" w14:textId="77777777" w:rsidR="004B2C7F" w:rsidRPr="009E3A2F" w:rsidRDefault="004B2C7F" w:rsidP="00D828E9">
      <w:pPr>
        <w:pStyle w:val="NormalHanging12a"/>
        <w:widowControl/>
      </w:pPr>
      <w:r w:rsidRPr="009E3A2F">
        <w:t>8.</w:t>
      </w:r>
      <w:r w:rsidRPr="009E3A2F">
        <w:tab/>
        <w:t>muistuttaa, että EGR on solidaarisuuden ja oikeudenmukaisen siirtymän väline ja että vaikka se tarjoaa tukea työpaikkojen menetysten jälkeen, se ei voi korvata ennakoivaa teollisuuspolitiikkaa; katsoo, että EGR:n varojen käyttöönotto on sisällytettävä osaksi laajempia politiikkatoimia kaikilla politiikkatasoilla sen varmistamiseksi, että asianomaiset työntekijät löytävät pätevyyksiään ja taitojaan vastaavia mahdollisuuksia; painottaa, että unionin ensisijaisena tehtävänä on oltava tällaisten sulkemisten estäminen alun pitäenkin luomalla edellytykset sille, että teollisuustuotannon kilpailukyky voidaan säilyttää, ja että samalla on investoitava sekä korkeasti koulutettujen että teollisuustyöntekijöiden osaamiseen; korostaa tarvetta tarjota matalasti koulutettujen työntekijöiden profiilin mukaan räätälöityä erityistukea ja toteuttaa samalla toimenpiteitä konkurssien vähentämiseksi ja ratkaisujen löytämiseksi sosiaaliseen eriarvoisuuteen, joka johtaa työvoiman syrjäytymiseen;</w:t>
      </w:r>
    </w:p>
    <w:p w14:paraId="24483376" w14:textId="77777777" w:rsidR="004B2C7F" w:rsidRPr="009E3A2F" w:rsidRDefault="004B2C7F" w:rsidP="00D828E9">
      <w:pPr>
        <w:pStyle w:val="NormalHanging12a"/>
        <w:widowControl/>
        <w:rPr>
          <w:bCs/>
          <w:iCs/>
        </w:rPr>
      </w:pPr>
      <w:r w:rsidRPr="009E3A2F">
        <w:t>9.</w:t>
      </w:r>
      <w:r w:rsidRPr="009E3A2F">
        <w:tab/>
        <w:t>korostaa, että Belgian viranomaisten on varmistettava EU:n rahoituksen näkyvyys ja pidettävä esillä sen tuomaa lisäarvoa tiedottamalla siitä tehokkaasti ja kohdennetusti edunsaajille, alue- ja paikallisviranomaisille, työmarkkinaosapuolille ja suurelle yleisölle;</w:t>
      </w:r>
    </w:p>
    <w:p w14:paraId="00EAF316" w14:textId="77777777" w:rsidR="004B2C7F" w:rsidRPr="009E3A2F" w:rsidRDefault="004B2C7F" w:rsidP="00D828E9">
      <w:pPr>
        <w:pStyle w:val="NormalHanging12a"/>
        <w:widowControl/>
      </w:pPr>
      <w:r w:rsidRPr="009E3A2F">
        <w:t>10.</w:t>
      </w:r>
      <w:r w:rsidRPr="009E3A2F">
        <w:tab/>
        <w:t>kehottaa laatimaan toteutetuista toimenpiteistä perusteelliset loppuarvioinnit, joissa esitetään selkeästi, miten varat on käytetty, miten on onnistuttu työntekijöiden uudelleentyöllistämisessä ja onko toimenpiteillä saavutettu EGR:n alkuperäiset tavoitteet;</w:t>
      </w:r>
    </w:p>
    <w:p w14:paraId="507C55D4" w14:textId="77777777" w:rsidR="004B2C7F" w:rsidRPr="009E3A2F" w:rsidRDefault="004B2C7F" w:rsidP="00D828E9">
      <w:pPr>
        <w:pStyle w:val="NormalHanging12a"/>
        <w:widowControl/>
      </w:pPr>
      <w:r w:rsidRPr="009E3A2F">
        <w:t>11.</w:t>
      </w:r>
      <w:r w:rsidRPr="009E3A2F">
        <w:tab/>
        <w:t>panee merkille, että Belgia aloitti yksilöllisten palvelujen tarjoamisen kohteena oleville edunsaajille 14. maaliskuuta 2025 ja että toimenpiteisiin liittyviin menoihin voidaan näin ollen myöntää EGR:n rahoitustukea kaudella, joka alkaa kyseisestä päivästä ja päättyy 24 kuukauden kuluttua rahoituspäätöksen voimaantulopäivästä;</w:t>
      </w:r>
    </w:p>
    <w:p w14:paraId="4CF580C1" w14:textId="77777777" w:rsidR="004B2C7F" w:rsidRPr="009E3A2F" w:rsidRDefault="004B2C7F" w:rsidP="00D828E9">
      <w:pPr>
        <w:pStyle w:val="NormalHanging12a"/>
        <w:widowControl/>
        <w:rPr>
          <w:szCs w:val="24"/>
        </w:rPr>
      </w:pPr>
      <w:r w:rsidRPr="009E3A2F">
        <w:t>12.</w:t>
      </w:r>
      <w:r w:rsidRPr="009E3A2F">
        <w:tab/>
        <w:t>toteaa, että Belgialle on aiheutunut hallinnollisia kuluja EGR:n täytäntöönpanosta 6. maaliskuuta 2025 lähtien ja että näihin menoihin voidaan näin ollen myöntää EGR:n rahoitustukea kaudella, joka alkaa kyseisestä päivästä ja päättyy 31 kuukauden kuluttua rahoituspäätöksen voimaantulopäivästä;</w:t>
      </w:r>
    </w:p>
    <w:p w14:paraId="01595026" w14:textId="77777777" w:rsidR="004B2C7F" w:rsidRPr="009E3A2F" w:rsidRDefault="004B2C7F" w:rsidP="00D828E9">
      <w:pPr>
        <w:pStyle w:val="NormalHanging12a"/>
        <w:widowControl/>
      </w:pPr>
      <w:r w:rsidRPr="009E3A2F">
        <w:t>13.</w:t>
      </w:r>
      <w:r w:rsidRPr="009E3A2F">
        <w:tab/>
        <w:t>toteaa Belgian viranomaisten toimittaneen vakuutukset siitä, että suunniteltuihin toimiin osallistumisen ja niiden täytäntöönpanon osalta noudatetaan yhdenvertaisen kohtelun ja syrjimättömyyden periaatteita ja että kaksinkertainen rahoitus estetään;</w:t>
      </w:r>
    </w:p>
    <w:p w14:paraId="5A6461B9" w14:textId="77777777" w:rsidR="004B2C7F" w:rsidRPr="009E3A2F" w:rsidRDefault="004B2C7F" w:rsidP="00D828E9">
      <w:pPr>
        <w:pStyle w:val="NormalHanging12a"/>
        <w:widowControl/>
      </w:pPr>
      <w:r w:rsidRPr="009E3A2F">
        <w:t>14.</w:t>
      </w:r>
      <w:r w:rsidRPr="009E3A2F">
        <w:tab/>
        <w:t>muistuttaa, että EGR:n tuki ei saa korvata toimenpiteitä, jotka kansallisen lainsäädännön tai työehtosopimusten nojalla kuuluvat viranomaisten tai yritysten vastuulle; muistuttaa, että EGR on osittainen, kohdennettu ja täydentävä tukiväline.</w:t>
      </w:r>
    </w:p>
    <w:p w14:paraId="5805DE95" w14:textId="77777777" w:rsidR="004B2C7F" w:rsidRPr="009E3A2F" w:rsidRDefault="004B2C7F" w:rsidP="00D828E9">
      <w:pPr>
        <w:pStyle w:val="NormalHanging12a"/>
        <w:widowControl/>
      </w:pPr>
      <w:r w:rsidRPr="009E3A2F">
        <w:lastRenderedPageBreak/>
        <w:t>15.</w:t>
      </w:r>
      <w:r w:rsidRPr="009E3A2F">
        <w:tab/>
        <w:t>hyväksyy tämän päätöslauselman liitteenä olevan päätöksen;</w:t>
      </w:r>
    </w:p>
    <w:p w14:paraId="7438E067" w14:textId="77777777" w:rsidR="004B2C7F" w:rsidRPr="009E3A2F" w:rsidRDefault="004B2C7F" w:rsidP="00D828E9">
      <w:pPr>
        <w:pStyle w:val="NormalHanging12a"/>
        <w:widowControl/>
      </w:pPr>
      <w:r w:rsidRPr="009E3A2F">
        <w:t>16.</w:t>
      </w:r>
      <w:r w:rsidRPr="009E3A2F">
        <w:tab/>
        <w:t xml:space="preserve">kehottaa puhemiestä allekirjoittamaan päätöksen neuvoston puheenjohtajan kanssa ja huolehtimaan sen julkaisemisesta </w:t>
      </w:r>
      <w:r w:rsidRPr="009E3A2F">
        <w:rPr>
          <w:i/>
          <w:iCs/>
        </w:rPr>
        <w:t>Euroopan unionin virallisessa lehdessä</w:t>
      </w:r>
      <w:r w:rsidRPr="009E3A2F">
        <w:t>;</w:t>
      </w:r>
    </w:p>
    <w:p w14:paraId="4505CD4C" w14:textId="77777777" w:rsidR="004B2C7F" w:rsidRPr="009E3A2F" w:rsidRDefault="004B2C7F" w:rsidP="00D828E9">
      <w:pPr>
        <w:pStyle w:val="NormalHanging12a"/>
        <w:widowControl/>
      </w:pPr>
      <w:r w:rsidRPr="009E3A2F">
        <w:t>17.</w:t>
      </w:r>
      <w:r w:rsidRPr="009E3A2F">
        <w:tab/>
        <w:t>kehottaa puhemiestä välittämään tämän päätöslauselman liitteineen neuvostolle ja komissiolle.</w:t>
      </w:r>
    </w:p>
    <w:p w14:paraId="0AA1BC72" w14:textId="77777777" w:rsidR="004B2C7F" w:rsidRPr="009E3A2F" w:rsidRDefault="004B2C7F" w:rsidP="004B2C7F">
      <w:pPr>
        <w:pStyle w:val="PageHeading"/>
        <w:widowControl/>
        <w:jc w:val="left"/>
        <w:rPr>
          <w:noProof/>
        </w:rPr>
        <w:sectPr w:rsidR="004B2C7F" w:rsidRPr="009E3A2F" w:rsidSect="009154A5">
          <w:headerReference w:type="even" r:id="rId9"/>
          <w:footerReference w:type="even"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0E56939" w14:textId="77777777" w:rsidR="00950CC2" w:rsidRDefault="004B2C7F" w:rsidP="004B2C7F">
      <w:pPr>
        <w:pStyle w:val="PageHeading"/>
        <w:widowControl/>
        <w:rPr>
          <w:rFonts w:ascii="Times New Roman" w:hAnsi="Times New Roman" w:cs="Times New Roman"/>
        </w:rPr>
      </w:pPr>
      <w:bookmarkStart w:id="7" w:name="_Toc221116748"/>
      <w:bookmarkStart w:id="8" w:name="_Toc224804833"/>
      <w:r w:rsidRPr="009E3A2F">
        <w:rPr>
          <w:rFonts w:ascii="Times New Roman" w:hAnsi="Times New Roman" w:cs="Times New Roman"/>
        </w:rPr>
        <w:lastRenderedPageBreak/>
        <w:t>LIITE</w:t>
      </w:r>
      <w:bookmarkStart w:id="9" w:name="_Hlk219192825"/>
    </w:p>
    <w:p w14:paraId="79C7211A" w14:textId="5C02A99D" w:rsidR="004B2C7F" w:rsidRPr="009E3A2F" w:rsidRDefault="004B2C7F" w:rsidP="004B2C7F">
      <w:pPr>
        <w:pStyle w:val="PageHeading"/>
        <w:widowControl/>
        <w:rPr>
          <w:rFonts w:ascii="Times New Roman" w:hAnsi="Times New Roman" w:cs="Times New Roman"/>
        </w:rPr>
      </w:pPr>
      <w:r w:rsidRPr="009E3A2F">
        <w:rPr>
          <w:rFonts w:ascii="Times New Roman" w:hAnsi="Times New Roman" w:cs="Times New Roman"/>
        </w:rPr>
        <w:t>EUROOPAN PARLAMENTIN JA NEUVOSTON PÄÄTÖS</w:t>
      </w:r>
      <w:bookmarkEnd w:id="7"/>
      <w:bookmarkEnd w:id="8"/>
    </w:p>
    <w:p w14:paraId="674DCB6B" w14:textId="77777777" w:rsidR="004B2C7F" w:rsidRDefault="004B2C7F" w:rsidP="004B2C7F">
      <w:pPr>
        <w:pStyle w:val="Titreobjet"/>
      </w:pPr>
      <w:r w:rsidRPr="009E3A2F">
        <w:t>työttömiksi jääneitä työntekijöitä tukevan Euroopan globalisaatiorahaston varojen käyttöönotosta Belgian hakemuksen johdosta – EGF/2025/007 BE/Casa</w:t>
      </w:r>
    </w:p>
    <w:p w14:paraId="7729E76C" w14:textId="0EEF0CC6" w:rsidR="00950CC2" w:rsidRPr="00950CC2" w:rsidRDefault="00950CC2" w:rsidP="00950CC2">
      <w:pPr>
        <w:rPr>
          <w:lang w:eastAsia="en-US"/>
        </w:rPr>
      </w:pPr>
      <w:r w:rsidRPr="006E0791">
        <w:rPr>
          <w:i/>
          <w:szCs w:val="24"/>
        </w:rPr>
        <w:t xml:space="preserve">(Tätä liitettä ei esitetä tässä, koska se vastaa lopullista säädöstä, päätöstä </w:t>
      </w:r>
      <w:r>
        <w:rPr>
          <w:i/>
          <w:szCs w:val="24"/>
        </w:rPr>
        <w:t>(</w:t>
      </w:r>
      <w:r w:rsidRPr="006E0791">
        <w:rPr>
          <w:i/>
          <w:szCs w:val="24"/>
        </w:rPr>
        <w:t>EU</w:t>
      </w:r>
      <w:r>
        <w:rPr>
          <w:i/>
          <w:szCs w:val="24"/>
        </w:rPr>
        <w:t>) 20</w:t>
      </w:r>
      <w:r>
        <w:rPr>
          <w:i/>
          <w:szCs w:val="24"/>
        </w:rPr>
        <w:t>26</w:t>
      </w:r>
      <w:r>
        <w:rPr>
          <w:i/>
          <w:szCs w:val="24"/>
        </w:rPr>
        <w:t>/</w:t>
      </w:r>
      <w:r>
        <w:rPr>
          <w:i/>
          <w:szCs w:val="24"/>
        </w:rPr>
        <w:t>851</w:t>
      </w:r>
      <w:r w:rsidRPr="006E0791">
        <w:rPr>
          <w:i/>
          <w:szCs w:val="24"/>
        </w:rPr>
        <w:t>.)</w:t>
      </w:r>
    </w:p>
    <w:bookmarkEnd w:id="9"/>
    <w:sectPr w:rsidR="00950CC2" w:rsidRPr="00950CC2" w:rsidSect="009154A5">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76B31" w14:textId="77777777" w:rsidR="00B71864" w:rsidRPr="009154A5" w:rsidRDefault="00B71864">
      <w:r w:rsidRPr="009154A5">
        <w:separator/>
      </w:r>
    </w:p>
  </w:endnote>
  <w:endnote w:type="continuationSeparator" w:id="0">
    <w:p w14:paraId="0BD1A0E9" w14:textId="77777777" w:rsidR="00B71864" w:rsidRPr="009154A5" w:rsidRDefault="00B71864">
      <w:r w:rsidRPr="009154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A6140" w14:textId="77777777" w:rsidR="004B2C7F" w:rsidRPr="009154A5" w:rsidRDefault="004B2C7F" w:rsidP="00A00F23">
    <w:pPr>
      <w:pStyle w:val="EPFooter"/>
    </w:pPr>
    <w:r w:rsidRPr="009154A5">
      <w:t>PE</w:t>
    </w:r>
    <w:r w:rsidRPr="009154A5">
      <w:rPr>
        <w:rStyle w:val="HideTWBExt"/>
      </w:rPr>
      <w:t>&lt;NoPE&gt;</w:t>
    </w:r>
    <w:r w:rsidRPr="009154A5">
      <w:t>784.477</w:t>
    </w:r>
    <w:r w:rsidRPr="009154A5">
      <w:rPr>
        <w:rStyle w:val="HideTWBExt"/>
      </w:rPr>
      <w:t>&lt;/NoPE&gt;&lt;Version&gt;</w:t>
    </w:r>
    <w:r w:rsidRPr="009154A5">
      <w:t>v02-00</w:t>
    </w:r>
    <w:r w:rsidRPr="009154A5">
      <w:rPr>
        <w:rStyle w:val="HideTWBExt"/>
      </w:rPr>
      <w:t>&lt;/Version&gt;</w:t>
    </w:r>
    <w:r w:rsidRPr="009154A5">
      <w:tab/>
    </w:r>
    <w:r w:rsidRPr="009154A5">
      <w:fldChar w:fldCharType="begin"/>
    </w:r>
    <w:r w:rsidRPr="009154A5">
      <w:instrText xml:space="preserve"> PAGE  \* MERGEFORMAT </w:instrText>
    </w:r>
    <w:r w:rsidRPr="009154A5">
      <w:fldChar w:fldCharType="separate"/>
    </w:r>
    <w:r w:rsidRPr="009154A5">
      <w:rPr>
        <w:noProof/>
      </w:rPr>
      <w:t>2</w:t>
    </w:r>
    <w:r w:rsidRPr="009154A5">
      <w:fldChar w:fldCharType="end"/>
    </w:r>
    <w:r w:rsidRPr="009154A5">
      <w:t>/</w:t>
    </w:r>
    <w:fldSimple w:instr=" NUMPAGES  \* MERGEFORMAT ">
      <w:r w:rsidRPr="009154A5">
        <w:rPr>
          <w:noProof/>
        </w:rPr>
        <w:t>18</w:t>
      </w:r>
    </w:fldSimple>
    <w:r w:rsidRPr="009154A5">
      <w:tab/>
    </w:r>
    <w:r w:rsidRPr="009154A5">
      <w:rPr>
        <w:rStyle w:val="HideTWBExt"/>
      </w:rPr>
      <w:t>&lt;PathFdR&gt;</w:t>
    </w:r>
    <w:r w:rsidRPr="009154A5">
      <w:t>RR\1339712FI.docx</w:t>
    </w:r>
    <w:r w:rsidRPr="009154A5">
      <w:rPr>
        <w:rStyle w:val="HideTWBExt"/>
      </w:rPr>
      <w:t>&lt;/PathFdR&gt;</w:t>
    </w:r>
  </w:p>
  <w:p w14:paraId="3981A134" w14:textId="77777777" w:rsidR="004B2C7F" w:rsidRPr="009154A5" w:rsidRDefault="004B2C7F" w:rsidP="00A00F23">
    <w:pPr>
      <w:pStyle w:val="EPFooter2"/>
    </w:pPr>
    <w:r w:rsidRPr="009154A5">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45F84" w14:textId="77777777" w:rsidR="004B2C7F" w:rsidRPr="009154A5" w:rsidRDefault="004B2C7F" w:rsidP="00A00F23">
    <w:pPr>
      <w:pStyle w:val="EPFooter"/>
    </w:pPr>
    <w:r w:rsidRPr="009154A5">
      <w:rPr>
        <w:rStyle w:val="HideTWBExt"/>
      </w:rPr>
      <w:t>&lt;PathFdR&gt;</w:t>
    </w:r>
    <w:r w:rsidRPr="009154A5">
      <w:t>RR\1339712FI.docx</w:t>
    </w:r>
    <w:r w:rsidRPr="009154A5">
      <w:rPr>
        <w:rStyle w:val="HideTWBExt"/>
      </w:rPr>
      <w:t>&lt;/PathFdR&gt;</w:t>
    </w:r>
    <w:r w:rsidRPr="009154A5">
      <w:tab/>
    </w:r>
    <w:r w:rsidRPr="009154A5">
      <w:tab/>
      <w:t>PE</w:t>
    </w:r>
    <w:r w:rsidRPr="009154A5">
      <w:rPr>
        <w:rStyle w:val="HideTWBExt"/>
      </w:rPr>
      <w:t>&lt;NoPE&gt;</w:t>
    </w:r>
    <w:r w:rsidRPr="009154A5">
      <w:t>784.477</w:t>
    </w:r>
    <w:r w:rsidRPr="009154A5">
      <w:rPr>
        <w:rStyle w:val="HideTWBExt"/>
      </w:rPr>
      <w:t>&lt;/NoPE&gt;&lt;Version&gt;</w:t>
    </w:r>
    <w:r w:rsidRPr="009154A5">
      <w:t>v02-00</w:t>
    </w:r>
    <w:r w:rsidRPr="009154A5">
      <w:rPr>
        <w:rStyle w:val="HideTWBExt"/>
      </w:rPr>
      <w:t>&lt;/Version&gt;</w:t>
    </w:r>
  </w:p>
  <w:p w14:paraId="741143A9" w14:textId="77777777" w:rsidR="004B2C7F" w:rsidRPr="009154A5" w:rsidRDefault="004B2C7F" w:rsidP="00A00F23">
    <w:pPr>
      <w:pStyle w:val="EPFooter2"/>
    </w:pPr>
    <w:r w:rsidRPr="009154A5">
      <w:t>FI</w:t>
    </w:r>
    <w:r w:rsidRPr="009154A5">
      <w:tab/>
    </w:r>
    <w:r w:rsidRPr="009154A5">
      <w:rPr>
        <w:b w:val="0"/>
        <w:i/>
        <w:color w:val="C0C0C0"/>
        <w:sz w:val="22"/>
      </w:rPr>
      <w:t>Moninaisuudessaan yhtenäinen</w:t>
    </w:r>
    <w:r w:rsidRPr="009154A5">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6D2A0" w14:textId="77777777" w:rsidR="00064002" w:rsidRPr="009154A5"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4160" w14:textId="77777777" w:rsidR="00064002" w:rsidRPr="009154A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A13D4" w14:textId="77777777" w:rsidR="00064002" w:rsidRPr="009154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BBAAF" w14:textId="77777777" w:rsidR="00B71864" w:rsidRPr="009154A5" w:rsidRDefault="00B71864">
      <w:r w:rsidRPr="009154A5">
        <w:separator/>
      </w:r>
    </w:p>
  </w:footnote>
  <w:footnote w:type="continuationSeparator" w:id="0">
    <w:p w14:paraId="6ED023AF" w14:textId="77777777" w:rsidR="00B71864" w:rsidRPr="009154A5" w:rsidRDefault="00B71864">
      <w:r w:rsidRPr="009154A5">
        <w:continuationSeparator/>
      </w:r>
    </w:p>
  </w:footnote>
  <w:footnote w:id="1">
    <w:p w14:paraId="1F0BDD66" w14:textId="59AD19E6" w:rsidR="004B2C7F" w:rsidRPr="009154A5" w:rsidRDefault="004B2C7F" w:rsidP="009154A5">
      <w:pPr>
        <w:pStyle w:val="FootnoteText"/>
        <w:ind w:left="567" w:hanging="567"/>
        <w:rPr>
          <w:sz w:val="24"/>
          <w:lang w:val="fi-FI"/>
        </w:rPr>
      </w:pPr>
      <w:r w:rsidRPr="009154A5">
        <w:rPr>
          <w:rStyle w:val="FootnoteReference"/>
          <w:sz w:val="24"/>
          <w:lang w:val="fi-FI"/>
        </w:rPr>
        <w:footnoteRef/>
      </w:r>
      <w:r w:rsidR="009154A5" w:rsidRPr="009154A5">
        <w:rPr>
          <w:sz w:val="24"/>
          <w:lang w:val="fi-FI"/>
        </w:rPr>
        <w:t xml:space="preserve"> </w:t>
      </w:r>
      <w:r w:rsidR="009154A5" w:rsidRPr="009154A5">
        <w:rPr>
          <w:sz w:val="24"/>
          <w:lang w:val="fi-FI"/>
        </w:rPr>
        <w:tab/>
      </w:r>
      <w:r w:rsidRPr="009154A5">
        <w:rPr>
          <w:sz w:val="24"/>
          <w:lang w:val="fi-FI"/>
        </w:rPr>
        <w:t xml:space="preserve">EUVL L 153, 3.5.2021, s. 48, ELI: </w:t>
      </w:r>
      <w:hyperlink r:id="rId1" w:history="1">
        <w:r w:rsidRPr="009154A5">
          <w:rPr>
            <w:rStyle w:val="Hyperlink"/>
            <w:sz w:val="24"/>
            <w:lang w:val="fi-FI"/>
          </w:rPr>
          <w:t>http://data.europa.eu/eli/reg/2021/691/oj</w:t>
        </w:r>
      </w:hyperlink>
      <w:r w:rsidRPr="009154A5">
        <w:rPr>
          <w:sz w:val="24"/>
          <w:lang w:val="fi-FI"/>
        </w:rPr>
        <w:t>.</w:t>
      </w:r>
    </w:p>
  </w:footnote>
  <w:footnote w:id="2">
    <w:p w14:paraId="25395C29" w14:textId="5E175232" w:rsidR="004B2C7F" w:rsidRPr="009154A5" w:rsidRDefault="004B2C7F" w:rsidP="009154A5">
      <w:pPr>
        <w:pStyle w:val="FootnoteText"/>
        <w:ind w:left="567" w:hanging="567"/>
        <w:rPr>
          <w:sz w:val="24"/>
          <w:lang w:val="fi-FI"/>
        </w:rPr>
      </w:pPr>
      <w:r w:rsidRPr="009154A5">
        <w:rPr>
          <w:rStyle w:val="FootnoteReference"/>
          <w:sz w:val="24"/>
          <w:lang w:val="fi-FI"/>
        </w:rPr>
        <w:footnoteRef/>
      </w:r>
      <w:r w:rsidR="009154A5" w:rsidRPr="009154A5">
        <w:rPr>
          <w:sz w:val="24"/>
          <w:lang w:val="fi-FI"/>
        </w:rPr>
        <w:t xml:space="preserve"> </w:t>
      </w:r>
      <w:r w:rsidR="009154A5" w:rsidRPr="009154A5">
        <w:rPr>
          <w:sz w:val="24"/>
          <w:lang w:val="fi-FI"/>
        </w:rPr>
        <w:tab/>
      </w:r>
      <w:r w:rsidRPr="009154A5">
        <w:rPr>
          <w:sz w:val="24"/>
          <w:lang w:val="fi-FI"/>
        </w:rPr>
        <w:t xml:space="preserve">EUVL L 433 I, 22.12.2020, s. 11, ELI: </w:t>
      </w:r>
      <w:hyperlink r:id="rId2" w:history="1">
        <w:r w:rsidRPr="009154A5">
          <w:rPr>
            <w:rStyle w:val="Hyperlink"/>
            <w:sz w:val="24"/>
            <w:lang w:val="fi-FI"/>
          </w:rPr>
          <w:t>http://data.europa.eu/eli/reg/2020/2093/oj</w:t>
        </w:r>
      </w:hyperlink>
      <w:r w:rsidRPr="009154A5">
        <w:rPr>
          <w:sz w:val="24"/>
          <w:lang w:val="fi-FI"/>
        </w:rPr>
        <w:t>.</w:t>
      </w:r>
    </w:p>
  </w:footnote>
  <w:footnote w:id="3">
    <w:p w14:paraId="24915D06" w14:textId="3F934CEB" w:rsidR="004B2C7F" w:rsidRPr="009154A5" w:rsidRDefault="004B2C7F" w:rsidP="009154A5">
      <w:pPr>
        <w:pStyle w:val="FootnoteText"/>
        <w:ind w:left="567" w:hanging="567"/>
        <w:rPr>
          <w:sz w:val="24"/>
          <w:lang w:val="fi-FI"/>
        </w:rPr>
      </w:pPr>
      <w:r w:rsidRPr="009154A5">
        <w:rPr>
          <w:rStyle w:val="FootnoteReference"/>
          <w:sz w:val="24"/>
          <w:lang w:val="fi-FI"/>
        </w:rPr>
        <w:footnoteRef/>
      </w:r>
      <w:r w:rsidR="009154A5" w:rsidRPr="009154A5">
        <w:rPr>
          <w:sz w:val="24"/>
          <w:shd w:val="clear" w:color="auto" w:fill="FFFFFF"/>
          <w:lang w:val="fi-FI"/>
        </w:rPr>
        <w:t xml:space="preserve"> </w:t>
      </w:r>
      <w:r w:rsidR="009154A5" w:rsidRPr="009154A5">
        <w:rPr>
          <w:sz w:val="24"/>
          <w:shd w:val="clear" w:color="auto" w:fill="FFFFFF"/>
          <w:lang w:val="fi-FI"/>
        </w:rPr>
        <w:tab/>
      </w:r>
      <w:r w:rsidRPr="009154A5">
        <w:rPr>
          <w:sz w:val="24"/>
          <w:shd w:val="clear" w:color="auto" w:fill="FFFFFF"/>
          <w:lang w:val="fi-FI"/>
        </w:rPr>
        <w:t>Neuvoston asetus (EU, Euratom) 2024/765, annettu 29. helmikuuta 2024, vuosia 2021–2027 koskevan monivuotisen rahoituskehyksen vahvistamisesta annetun asetuksen (EU, Euratom) 2020/2093 muuttamisesta (EUVL L, 2024/765, 29.2.2024, ELI:</w:t>
      </w:r>
      <w:r w:rsidRPr="009154A5">
        <w:rPr>
          <w:color w:val="333333"/>
          <w:sz w:val="24"/>
          <w:shd w:val="clear" w:color="auto" w:fill="FFFFFF"/>
          <w:lang w:val="fi-FI"/>
        </w:rPr>
        <w:t xml:space="preserve"> </w:t>
      </w:r>
      <w:hyperlink r:id="rId3" w:history="1">
        <w:r w:rsidRPr="009154A5">
          <w:rPr>
            <w:rStyle w:val="Hyperlink"/>
            <w:sz w:val="24"/>
            <w:shd w:val="clear" w:color="auto" w:fill="FFFFFF"/>
            <w:lang w:val="fi-FI"/>
          </w:rPr>
          <w:t>http://data.europa.eu/eli/reg/2024/765/oj</w:t>
        </w:r>
      </w:hyperlink>
      <w:r w:rsidRPr="009154A5">
        <w:rPr>
          <w:i/>
          <w:color w:val="333333"/>
          <w:sz w:val="24"/>
          <w:shd w:val="clear" w:color="auto" w:fill="FFFFFF"/>
          <w:lang w:val="fi-FI"/>
        </w:rPr>
        <w:t>).</w:t>
      </w:r>
    </w:p>
  </w:footnote>
  <w:footnote w:id="4">
    <w:p w14:paraId="77AA77A2" w14:textId="7CBC97CF" w:rsidR="004B2C7F" w:rsidRPr="009154A5" w:rsidRDefault="004B2C7F" w:rsidP="009154A5">
      <w:pPr>
        <w:pStyle w:val="FootnoteText"/>
        <w:ind w:left="567" w:hanging="567"/>
        <w:rPr>
          <w:sz w:val="24"/>
          <w:lang w:val="fi-FI"/>
        </w:rPr>
      </w:pPr>
      <w:r w:rsidRPr="009154A5">
        <w:rPr>
          <w:rStyle w:val="FootnoteReference"/>
          <w:sz w:val="24"/>
          <w:lang w:val="fi-FI"/>
        </w:rPr>
        <w:footnoteRef/>
      </w:r>
      <w:r w:rsidR="009154A5" w:rsidRPr="009154A5">
        <w:rPr>
          <w:sz w:val="24"/>
          <w:lang w:val="fi-FI"/>
        </w:rPr>
        <w:t xml:space="preserve"> </w:t>
      </w:r>
      <w:r w:rsidR="009154A5" w:rsidRPr="009154A5">
        <w:rPr>
          <w:sz w:val="24"/>
          <w:lang w:val="fi-FI"/>
        </w:rPr>
        <w:tab/>
      </w:r>
      <w:r w:rsidRPr="009154A5">
        <w:rPr>
          <w:sz w:val="24"/>
          <w:lang w:val="fi-FI"/>
        </w:rPr>
        <w:t xml:space="preserve">EUVL L 433 I, 22.12.2020, s. 28, ELI: </w:t>
      </w:r>
      <w:hyperlink r:id="rId4" w:history="1">
        <w:r w:rsidRPr="009154A5">
          <w:rPr>
            <w:rStyle w:val="Hyperlink"/>
            <w:sz w:val="24"/>
            <w:lang w:val="fi-FI"/>
          </w:rPr>
          <w:t>http://data.europa.eu/eli/agree_interinstit/2020/1222/oj</w:t>
        </w:r>
      </w:hyperlink>
      <w:r w:rsidRPr="009154A5">
        <w:rPr>
          <w:sz w:val="24"/>
          <w:lang w:val="fi-FI"/>
        </w:rPr>
        <w:t>.</w:t>
      </w:r>
    </w:p>
  </w:footnote>
  <w:footnote w:id="5">
    <w:p w14:paraId="61BC747D" w14:textId="590C2E3A" w:rsidR="004B2C7F" w:rsidRPr="009154A5" w:rsidRDefault="004B2C7F" w:rsidP="009154A5">
      <w:pPr>
        <w:pStyle w:val="FootnoteText"/>
        <w:ind w:left="567" w:hanging="567"/>
        <w:rPr>
          <w:sz w:val="24"/>
          <w:lang w:val="fi-FI"/>
        </w:rPr>
      </w:pPr>
      <w:r w:rsidRPr="009154A5">
        <w:rPr>
          <w:rStyle w:val="FootnoteReference"/>
          <w:sz w:val="24"/>
          <w:lang w:val="fi-FI"/>
        </w:rPr>
        <w:footnoteRef/>
      </w:r>
      <w:r w:rsidR="009154A5" w:rsidRPr="009154A5">
        <w:rPr>
          <w:sz w:val="24"/>
          <w:lang w:val="fi-FI"/>
        </w:rPr>
        <w:t xml:space="preserve"> </w:t>
      </w:r>
      <w:r w:rsidR="009154A5" w:rsidRPr="009154A5">
        <w:rPr>
          <w:sz w:val="24"/>
          <w:lang w:val="fi-FI"/>
        </w:rPr>
        <w:tab/>
      </w:r>
      <w:r w:rsidRPr="009154A5">
        <w:rPr>
          <w:sz w:val="24"/>
          <w:lang w:val="fi-FI"/>
        </w:rPr>
        <w:t>EGR-asetuksen 3 artiklan mukaisessa merkityksessä.</w:t>
      </w:r>
    </w:p>
  </w:footnote>
  <w:footnote w:id="6">
    <w:p w14:paraId="15CDDC52" w14:textId="623DF733" w:rsidR="004B2C7F" w:rsidRPr="009154A5" w:rsidRDefault="004B2C7F" w:rsidP="009154A5">
      <w:pPr>
        <w:pStyle w:val="FootnoteText"/>
        <w:ind w:left="567" w:hanging="567"/>
        <w:rPr>
          <w:sz w:val="24"/>
          <w:lang w:val="fi-FI"/>
        </w:rPr>
      </w:pPr>
      <w:r w:rsidRPr="009154A5">
        <w:rPr>
          <w:rStyle w:val="FootnoteReference"/>
          <w:sz w:val="24"/>
          <w:lang w:val="fi-FI"/>
        </w:rPr>
        <w:footnoteRef/>
      </w:r>
      <w:r w:rsidR="009154A5" w:rsidRPr="009154A5">
        <w:rPr>
          <w:sz w:val="24"/>
          <w:lang w:val="fi-FI"/>
        </w:rPr>
        <w:t xml:space="preserve"> </w:t>
      </w:r>
      <w:r w:rsidR="009154A5" w:rsidRPr="009154A5">
        <w:rPr>
          <w:sz w:val="24"/>
          <w:lang w:val="fi-FI"/>
        </w:rPr>
        <w:tab/>
      </w:r>
      <w:r w:rsidRPr="009154A5">
        <w:rPr>
          <w:sz w:val="24"/>
          <w:lang w:val="fi-FI"/>
        </w:rPr>
        <w:t>Rahoituskehysasetuksen 8 artikla.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33FAB" w14:textId="77777777" w:rsidR="004B2C7F" w:rsidRPr="009154A5" w:rsidRDefault="004B2C7F">
    <w:pPr>
      <w:pStyle w:val="Header"/>
    </w:pPr>
  </w:p>
  <w:p w14:paraId="69CE5F0E" w14:textId="77777777" w:rsidR="004B2C7F" w:rsidRPr="009154A5" w:rsidRDefault="004B2C7F"/>
  <w:p w14:paraId="2D21976B" w14:textId="77777777" w:rsidR="004B2C7F" w:rsidRPr="009154A5" w:rsidRDefault="004B2C7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E682F" w14:textId="77777777" w:rsidR="00064002" w:rsidRPr="009154A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4E8B7" w14:textId="77777777" w:rsidR="00064002" w:rsidRPr="009154A5" w:rsidRDefault="0006400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794C3" w14:textId="77777777" w:rsidR="00064002" w:rsidRPr="009154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33159045">
    <w:abstractNumId w:val="9"/>
  </w:num>
  <w:num w:numId="2" w16cid:durableId="421025982">
    <w:abstractNumId w:val="9"/>
  </w:num>
  <w:num w:numId="3" w16cid:durableId="1569657958">
    <w:abstractNumId w:val="7"/>
  </w:num>
  <w:num w:numId="4" w16cid:durableId="1329359318">
    <w:abstractNumId w:val="7"/>
  </w:num>
  <w:num w:numId="5" w16cid:durableId="488404385">
    <w:abstractNumId w:val="6"/>
  </w:num>
  <w:num w:numId="6" w16cid:durableId="2059890911">
    <w:abstractNumId w:val="6"/>
  </w:num>
  <w:num w:numId="7" w16cid:durableId="632448552">
    <w:abstractNumId w:val="5"/>
  </w:num>
  <w:num w:numId="8" w16cid:durableId="1587884558">
    <w:abstractNumId w:val="5"/>
  </w:num>
  <w:num w:numId="9" w16cid:durableId="145055297">
    <w:abstractNumId w:val="4"/>
  </w:num>
  <w:num w:numId="10" w16cid:durableId="158083126">
    <w:abstractNumId w:val="4"/>
  </w:num>
  <w:num w:numId="11" w16cid:durableId="1780175023">
    <w:abstractNumId w:val="8"/>
  </w:num>
  <w:num w:numId="12" w16cid:durableId="1384673478">
    <w:abstractNumId w:val="8"/>
  </w:num>
  <w:num w:numId="13" w16cid:durableId="1278759656">
    <w:abstractNumId w:val="3"/>
  </w:num>
  <w:num w:numId="14" w16cid:durableId="1517772404">
    <w:abstractNumId w:val="3"/>
  </w:num>
  <w:num w:numId="15" w16cid:durableId="1243023957">
    <w:abstractNumId w:val="2"/>
  </w:num>
  <w:num w:numId="16" w16cid:durableId="1091661737">
    <w:abstractNumId w:val="2"/>
  </w:num>
  <w:num w:numId="17" w16cid:durableId="926571145">
    <w:abstractNumId w:val="1"/>
  </w:num>
  <w:num w:numId="18" w16cid:durableId="1104571157">
    <w:abstractNumId w:val="1"/>
  </w:num>
  <w:num w:numId="19" w16cid:durableId="567300107">
    <w:abstractNumId w:val="0"/>
  </w:num>
  <w:num w:numId="20" w16cid:durableId="1005329711">
    <w:abstractNumId w:val="0"/>
  </w:num>
  <w:num w:numId="21" w16cid:durableId="1569420350">
    <w:abstractNumId w:val="9"/>
  </w:num>
  <w:num w:numId="22" w16cid:durableId="1213925203">
    <w:abstractNumId w:val="7"/>
  </w:num>
  <w:num w:numId="23" w16cid:durableId="1407268674">
    <w:abstractNumId w:val="6"/>
  </w:num>
  <w:num w:numId="24" w16cid:durableId="233131782">
    <w:abstractNumId w:val="5"/>
  </w:num>
  <w:num w:numId="25" w16cid:durableId="1202549918">
    <w:abstractNumId w:val="4"/>
  </w:num>
  <w:num w:numId="26" w16cid:durableId="1205019536">
    <w:abstractNumId w:val="8"/>
  </w:num>
  <w:num w:numId="27" w16cid:durableId="2079207399">
    <w:abstractNumId w:val="3"/>
  </w:num>
  <w:num w:numId="28" w16cid:durableId="1111821776">
    <w:abstractNumId w:val="2"/>
  </w:num>
  <w:num w:numId="29" w16cid:durableId="1958174740">
    <w:abstractNumId w:val="1"/>
  </w:num>
  <w:num w:numId="30" w16cid:durableId="1494681336">
    <w:abstractNumId w:val="0"/>
  </w:num>
  <w:num w:numId="31" w16cid:durableId="229049517">
    <w:abstractNumId w:val="9"/>
  </w:num>
  <w:num w:numId="32" w16cid:durableId="1952711024">
    <w:abstractNumId w:val="7"/>
  </w:num>
  <w:num w:numId="33" w16cid:durableId="85155738">
    <w:abstractNumId w:val="6"/>
  </w:num>
  <w:num w:numId="34" w16cid:durableId="1537111371">
    <w:abstractNumId w:val="5"/>
  </w:num>
  <w:num w:numId="35" w16cid:durableId="303972128">
    <w:abstractNumId w:val="4"/>
  </w:num>
  <w:num w:numId="36" w16cid:durableId="428042571">
    <w:abstractNumId w:val="8"/>
  </w:num>
  <w:num w:numId="37" w16cid:durableId="1092820810">
    <w:abstractNumId w:val="3"/>
  </w:num>
  <w:num w:numId="38" w16cid:durableId="89350097">
    <w:abstractNumId w:val="2"/>
  </w:num>
  <w:num w:numId="39" w16cid:durableId="1744528150">
    <w:abstractNumId w:val="1"/>
  </w:num>
  <w:num w:numId="40" w16cid:durableId="1379429557">
    <w:abstractNumId w:val="0"/>
  </w:num>
  <w:num w:numId="41" w16cid:durableId="1188131190">
    <w:abstractNumId w:val="10"/>
  </w:num>
  <w:num w:numId="42" w16cid:durableId="641353718">
    <w:abstractNumId w:val="10"/>
  </w:num>
  <w:num w:numId="43" w16cid:durableId="1154763777">
    <w:abstractNumId w:val="10"/>
  </w:num>
  <w:num w:numId="44" w16cid:durableId="2008974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1/2026"/>
    <w:docVar w:name="dvlangue" w:val="FI"/>
    <w:docVar w:name="dvnumam" w:val="0"/>
    <w:docVar w:name="dvpe" w:val="784.477"/>
    <w:docVar w:name="dvrapporteur" w:val="Esittelijä: "/>
    <w:docVar w:name="dvtitre" w:val="Euroopan parlamentin päätöslauselma xx. maaliskuuta 2026 ehdotuksesta Euroopan parlamentin ja neuvoston päätökseksi työttömiksi jääneitä työntekijöitä tukevan Euroopan globalisaatiorahaston varojen käyttöönotosta Belgian hakemuksen johdosta – EGF/2025/007 BE/Casa(COM(2026)0003 – C10-0025/2026 – 2026/0038(BUD))"/>
  </w:docVars>
  <w:rsids>
    <w:rsidRoot w:val="00B71864"/>
    <w:rsid w:val="00002272"/>
    <w:rsid w:val="00064002"/>
    <w:rsid w:val="000677B9"/>
    <w:rsid w:val="000831BA"/>
    <w:rsid w:val="000A42CC"/>
    <w:rsid w:val="000E7DD9"/>
    <w:rsid w:val="0010095E"/>
    <w:rsid w:val="00125B37"/>
    <w:rsid w:val="00143304"/>
    <w:rsid w:val="001537AA"/>
    <w:rsid w:val="00187494"/>
    <w:rsid w:val="001F32AE"/>
    <w:rsid w:val="002767FF"/>
    <w:rsid w:val="002B18FE"/>
    <w:rsid w:val="002B5493"/>
    <w:rsid w:val="00343214"/>
    <w:rsid w:val="00355B46"/>
    <w:rsid w:val="00361C00"/>
    <w:rsid w:val="00395FA1"/>
    <w:rsid w:val="003E15D4"/>
    <w:rsid w:val="00411CCE"/>
    <w:rsid w:val="0041666E"/>
    <w:rsid w:val="00421060"/>
    <w:rsid w:val="00471C19"/>
    <w:rsid w:val="004867E3"/>
    <w:rsid w:val="00494A28"/>
    <w:rsid w:val="004B2C7F"/>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56EA"/>
    <w:rsid w:val="007D1690"/>
    <w:rsid w:val="007E22AD"/>
    <w:rsid w:val="00817416"/>
    <w:rsid w:val="00842779"/>
    <w:rsid w:val="00865F67"/>
    <w:rsid w:val="00881A7B"/>
    <w:rsid w:val="008840E5"/>
    <w:rsid w:val="00887B3E"/>
    <w:rsid w:val="008C2AC6"/>
    <w:rsid w:val="009154A5"/>
    <w:rsid w:val="00930C23"/>
    <w:rsid w:val="0093193B"/>
    <w:rsid w:val="009509D8"/>
    <w:rsid w:val="00950B64"/>
    <w:rsid w:val="00950CC2"/>
    <w:rsid w:val="00981893"/>
    <w:rsid w:val="009E3A2F"/>
    <w:rsid w:val="00A1687D"/>
    <w:rsid w:val="00A43E52"/>
    <w:rsid w:val="00A4678D"/>
    <w:rsid w:val="00A778C7"/>
    <w:rsid w:val="00AB441E"/>
    <w:rsid w:val="00AB6293"/>
    <w:rsid w:val="00AE0928"/>
    <w:rsid w:val="00AF3B82"/>
    <w:rsid w:val="00B12E95"/>
    <w:rsid w:val="00B22876"/>
    <w:rsid w:val="00B22E95"/>
    <w:rsid w:val="00B558F0"/>
    <w:rsid w:val="00B71864"/>
    <w:rsid w:val="00BD48FE"/>
    <w:rsid w:val="00BD7BD8"/>
    <w:rsid w:val="00BE6ADC"/>
    <w:rsid w:val="00C05BFE"/>
    <w:rsid w:val="00C23CD4"/>
    <w:rsid w:val="00C61C0C"/>
    <w:rsid w:val="00C941CB"/>
    <w:rsid w:val="00CC2357"/>
    <w:rsid w:val="00CF071A"/>
    <w:rsid w:val="00D058B8"/>
    <w:rsid w:val="00D41FE6"/>
    <w:rsid w:val="00D56C11"/>
    <w:rsid w:val="00D828E9"/>
    <w:rsid w:val="00D834A0"/>
    <w:rsid w:val="00D872DF"/>
    <w:rsid w:val="00D91E21"/>
    <w:rsid w:val="00D92860"/>
    <w:rsid w:val="00DA7FCD"/>
    <w:rsid w:val="00E365E1"/>
    <w:rsid w:val="00E820A4"/>
    <w:rsid w:val="00EB006A"/>
    <w:rsid w:val="00EB4772"/>
    <w:rsid w:val="00ED169E"/>
    <w:rsid w:val="00ED4235"/>
    <w:rsid w:val="00F04346"/>
    <w:rsid w:val="00F075DC"/>
    <w:rsid w:val="00F149E9"/>
    <w:rsid w:val="00F2076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6FE260"/>
  <w15:chartTrackingRefBased/>
  <w15:docId w15:val="{6F21D8C8-4399-4384-A953-DBE80C5D2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37AA"/>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B2C7F"/>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4B2C7F"/>
    <w:pPr>
      <w:keepNext/>
      <w:spacing w:after="480"/>
      <w:jc w:val="center"/>
    </w:pPr>
    <w:rPr>
      <w:rFonts w:ascii="Arial" w:hAnsi="Arial" w:cs="Arial"/>
      <w:b/>
    </w:rPr>
  </w:style>
  <w:style w:type="paragraph" w:customStyle="1" w:styleId="NormalHanging12a">
    <w:name w:val="NormalHanging12a"/>
    <w:basedOn w:val="Normal"/>
    <w:link w:val="NormalHanging12aChar"/>
    <w:rsid w:val="004B2C7F"/>
    <w:pPr>
      <w:spacing w:after="240"/>
      <w:ind w:left="567" w:hanging="567"/>
    </w:pPr>
  </w:style>
  <w:style w:type="paragraph" w:styleId="Header">
    <w:name w:val="header"/>
    <w:basedOn w:val="Normal"/>
    <w:link w:val="HeaderChar"/>
    <w:rsid w:val="004B2C7F"/>
    <w:pPr>
      <w:tabs>
        <w:tab w:val="center" w:pos="4513"/>
        <w:tab w:val="right" w:pos="9026"/>
      </w:tabs>
    </w:pPr>
  </w:style>
  <w:style w:type="character" w:customStyle="1" w:styleId="HeaderChar">
    <w:name w:val="Header Char"/>
    <w:basedOn w:val="DefaultParagraphFont"/>
    <w:link w:val="Header"/>
    <w:rsid w:val="004B2C7F"/>
    <w:rPr>
      <w:sz w:val="24"/>
      <w:lang w:val="fi-FI"/>
    </w:rPr>
  </w:style>
  <w:style w:type="paragraph" w:customStyle="1" w:styleId="EPFooter">
    <w:name w:val="EPFooter"/>
    <w:basedOn w:val="Normal"/>
    <w:rsid w:val="004B2C7F"/>
    <w:pPr>
      <w:tabs>
        <w:tab w:val="center" w:pos="4535"/>
        <w:tab w:val="right" w:pos="9071"/>
      </w:tabs>
      <w:spacing w:before="240" w:after="240"/>
    </w:pPr>
    <w:rPr>
      <w:color w:val="010000"/>
      <w:sz w:val="22"/>
    </w:rPr>
  </w:style>
  <w:style w:type="paragraph" w:customStyle="1" w:styleId="EPComma">
    <w:name w:val="EPComma"/>
    <w:basedOn w:val="Normal"/>
    <w:rsid w:val="004B2C7F"/>
    <w:pPr>
      <w:spacing w:before="480" w:after="240"/>
    </w:pPr>
  </w:style>
  <w:style w:type="character" w:styleId="Hyperlink">
    <w:name w:val="Hyperlink"/>
    <w:basedOn w:val="DefaultParagraphFont"/>
    <w:uiPriority w:val="99"/>
    <w:rsid w:val="004B2C7F"/>
    <w:rPr>
      <w:color w:val="0563C1" w:themeColor="hyperlink"/>
      <w:u w:val="single"/>
    </w:rPr>
  </w:style>
  <w:style w:type="character" w:customStyle="1" w:styleId="NormalHanging12aChar">
    <w:name w:val="NormalHanging12a Char"/>
    <w:basedOn w:val="DefaultParagraphFont"/>
    <w:link w:val="NormalHanging12a"/>
    <w:locked/>
    <w:rsid w:val="004B2C7F"/>
    <w:rPr>
      <w:sz w:val="24"/>
      <w:lang w:val="fi-FI"/>
    </w:rPr>
  </w:style>
  <w:style w:type="character" w:customStyle="1" w:styleId="PageHeadingChar">
    <w:name w:val="PageHeading Char"/>
    <w:basedOn w:val="DefaultParagraphFont"/>
    <w:link w:val="PageHeading"/>
    <w:locked/>
    <w:rsid w:val="004B2C7F"/>
    <w:rPr>
      <w:rFonts w:ascii="Arial" w:hAnsi="Arial" w:cs="Arial"/>
      <w:b/>
      <w:sz w:val="24"/>
      <w:lang w:val="fi-FI"/>
    </w:rPr>
  </w:style>
  <w:style w:type="paragraph" w:customStyle="1" w:styleId="Titreobjet">
    <w:name w:val="Titre objet"/>
    <w:basedOn w:val="Normal"/>
    <w:next w:val="Normal"/>
    <w:rsid w:val="004B2C7F"/>
    <w:pPr>
      <w:widowControl/>
      <w:spacing w:before="360" w:after="360"/>
      <w:jc w:val="center"/>
    </w:pPr>
    <w:rPr>
      <w:rFonts w:eastAsiaTheme="minorHAnsi"/>
      <w:b/>
      <w:szCs w:val="22"/>
      <w:lang w:eastAsia="en-US"/>
    </w:rPr>
  </w:style>
  <w:style w:type="paragraph" w:customStyle="1" w:styleId="Fait">
    <w:name w:val="Fait à"/>
    <w:basedOn w:val="Normal"/>
    <w:next w:val="Institutionquisigne"/>
    <w:rsid w:val="004B2C7F"/>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4B2C7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B2C7F"/>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4B2C7F"/>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4B2C7F"/>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4B2C7F"/>
    <w:pPr>
      <w:widowControl/>
      <w:tabs>
        <w:tab w:val="left" w:pos="4252"/>
      </w:tabs>
    </w:pPr>
    <w:rPr>
      <w:rFonts w:eastAsiaTheme="minorHAnsi"/>
      <w:i/>
      <w:szCs w:val="22"/>
      <w:lang w:eastAsia="en-US"/>
    </w:rPr>
  </w:style>
  <w:style w:type="paragraph" w:customStyle="1" w:styleId="Titrearticle">
    <w:name w:val="Titre article"/>
    <w:basedOn w:val="Normal"/>
    <w:next w:val="Normal"/>
    <w:rsid w:val="004B2C7F"/>
    <w:pPr>
      <w:keepNext/>
      <w:widowControl/>
      <w:spacing w:before="360" w:after="120"/>
      <w:jc w:val="center"/>
    </w:pPr>
    <w:rPr>
      <w:rFonts w:eastAsiaTheme="minorHAnsi"/>
      <w:i/>
      <w:szCs w:val="22"/>
      <w:lang w:eastAsia="en-US"/>
    </w:rPr>
  </w:style>
  <w:style w:type="paragraph" w:styleId="Footer">
    <w:name w:val="footer"/>
    <w:basedOn w:val="Normal"/>
    <w:link w:val="FooterChar"/>
    <w:rsid w:val="00D828E9"/>
    <w:pPr>
      <w:tabs>
        <w:tab w:val="center" w:pos="4513"/>
        <w:tab w:val="right" w:pos="9026"/>
      </w:tabs>
    </w:pPr>
  </w:style>
  <w:style w:type="character" w:customStyle="1" w:styleId="FooterChar">
    <w:name w:val="Footer Char"/>
    <w:basedOn w:val="DefaultParagraphFont"/>
    <w:link w:val="Footer"/>
    <w:rsid w:val="00D828E9"/>
    <w:rPr>
      <w:sz w:val="24"/>
      <w:lang w:val="fi-FI"/>
    </w:rPr>
  </w:style>
  <w:style w:type="paragraph" w:styleId="Revision">
    <w:name w:val="Revision"/>
    <w:hidden/>
    <w:uiPriority w:val="99"/>
    <w:semiHidden/>
    <w:rsid w:val="00355B46"/>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1233</Words>
  <Characters>10447</Characters>
  <Application>Microsoft Office Word</Application>
  <DocSecurity>0</DocSecurity>
  <Lines>261</Lines>
  <Paragraphs>111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2026-05-12T09:34:00Z</dcterms:created>
  <dcterms:modified xsi:type="dcterms:W3CDTF">2026-05-12T09:34:00Z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P10_TA(2026)0102_</vt:lpwstr>
  </property>
  <property fmtid="{D5CDD505-2E9C-101B-9397-08002B2CF9AE}" pid="4" name="&lt;Type&gt;">
    <vt:lpwstr>RR</vt:lpwstr>
  </property>
</Properties>
</file>