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31F7C" w14:paraId="4730238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42812CB" w14:textId="77777777" w:rsidR="00751A4A" w:rsidRPr="00631F7C" w:rsidRDefault="00D826E8" w:rsidP="0010095E">
            <w:pPr>
              <w:pStyle w:val="EPName"/>
            </w:pPr>
            <w:r w:rsidRPr="00631F7C">
              <w:t>Europski parlament</w:t>
            </w:r>
          </w:p>
          <w:p w14:paraId="7065F1F9" w14:textId="77777777" w:rsidR="00751A4A" w:rsidRPr="00631F7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31F7C">
              <w:t>2024</w:t>
            </w:r>
            <w:r w:rsidR="00817416" w:rsidRPr="00631F7C">
              <w:t>-202</w:t>
            </w:r>
            <w:r w:rsidRPr="00631F7C">
              <w:t>9</w:t>
            </w:r>
          </w:p>
        </w:tc>
        <w:tc>
          <w:tcPr>
            <w:tcW w:w="2268" w:type="dxa"/>
            <w:shd w:val="clear" w:color="auto" w:fill="auto"/>
          </w:tcPr>
          <w:p w14:paraId="1200E3CE" w14:textId="77777777" w:rsidR="00751A4A" w:rsidRPr="00631F7C" w:rsidRDefault="00187494" w:rsidP="0010095E">
            <w:pPr>
              <w:pStyle w:val="EPLogo"/>
            </w:pPr>
            <w:r w:rsidRPr="00631F7C">
              <w:rPr>
                <w:noProof/>
                <w:lang w:eastAsia="ja-JP"/>
              </w:rPr>
              <w:drawing>
                <wp:inline distT="0" distB="0" distL="0" distR="0" wp14:anchorId="1428F684" wp14:editId="0285E69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D02679" w14:textId="77777777" w:rsidR="00D058B8" w:rsidRPr="00631F7C" w:rsidRDefault="00D058B8" w:rsidP="004C5D52">
      <w:pPr>
        <w:pStyle w:val="LineTop"/>
      </w:pPr>
    </w:p>
    <w:p w14:paraId="7860B26A" w14:textId="77777777" w:rsidR="00680577" w:rsidRPr="00631F7C" w:rsidRDefault="00D826E8" w:rsidP="00680577">
      <w:pPr>
        <w:pStyle w:val="EPBodyTA1"/>
      </w:pPr>
      <w:r w:rsidRPr="00631F7C">
        <w:t>USVOJENI TEKSTOVI</w:t>
      </w:r>
    </w:p>
    <w:p w14:paraId="30A99122" w14:textId="77777777" w:rsidR="00D058B8" w:rsidRPr="00631F7C" w:rsidRDefault="00D058B8" w:rsidP="00D058B8">
      <w:pPr>
        <w:pStyle w:val="LineBottom"/>
      </w:pPr>
    </w:p>
    <w:p w14:paraId="74318C4E" w14:textId="4FF10B8C" w:rsidR="00D826E8" w:rsidRPr="00631F7C" w:rsidRDefault="00D826E8" w:rsidP="00D826E8">
      <w:pPr>
        <w:pStyle w:val="ATHeading1"/>
      </w:pPr>
      <w:bookmarkStart w:id="0" w:name="TANumber"/>
      <w:r w:rsidRPr="00631F7C">
        <w:t>P10_TA(2026)0</w:t>
      </w:r>
      <w:r w:rsidR="004D62BA">
        <w:t>102</w:t>
      </w:r>
      <w:bookmarkEnd w:id="0"/>
    </w:p>
    <w:p w14:paraId="2BE08D10" w14:textId="4005322A" w:rsidR="00D826E8" w:rsidRPr="00631F7C" w:rsidRDefault="00B47446" w:rsidP="00D826E8">
      <w:pPr>
        <w:pStyle w:val="ATHeading2"/>
      </w:pPr>
      <w:bookmarkStart w:id="1" w:name="title"/>
      <w:r w:rsidRPr="00B47446">
        <w:t xml:space="preserve">Mobilizacija Europskog fonda za prilagodbu globalizaciji za radnike koji su proglašeni viškom: zahtjev </w:t>
      </w:r>
      <w:bookmarkEnd w:id="1"/>
      <w:r w:rsidRPr="00B47446">
        <w:t>EGF/2025/007 BE/</w:t>
      </w:r>
      <w:proofErr w:type="spellStart"/>
      <w:r w:rsidRPr="00B47446">
        <w:t>Casa</w:t>
      </w:r>
      <w:proofErr w:type="spellEnd"/>
      <w:r w:rsidRPr="00B47446">
        <w:t xml:space="preserve"> </w:t>
      </w:r>
      <w:r w:rsidR="007213CF" w:rsidRPr="00A3620D">
        <w:t>-</w:t>
      </w:r>
      <w:r w:rsidR="007213CF">
        <w:t xml:space="preserve"> </w:t>
      </w:r>
      <w:r w:rsidRPr="00B47446">
        <w:t>Belgij</w:t>
      </w:r>
      <w:r>
        <w:t>a</w:t>
      </w:r>
    </w:p>
    <w:p w14:paraId="60907B0C" w14:textId="77777777" w:rsidR="00D826E8" w:rsidRPr="00631F7C" w:rsidRDefault="00D826E8" w:rsidP="00D826E8">
      <w:pPr>
        <w:rPr>
          <w:i/>
          <w:vanish/>
        </w:rPr>
      </w:pPr>
      <w:r w:rsidRPr="00631F7C">
        <w:rPr>
          <w:i/>
        </w:rPr>
        <w:fldChar w:fldCharType="begin"/>
      </w:r>
      <w:r w:rsidRPr="00631F7C">
        <w:rPr>
          <w:i/>
        </w:rPr>
        <w:instrText xml:space="preserve"> TC"(</w:instrText>
      </w:r>
      <w:bookmarkStart w:id="2" w:name="DocNumber"/>
      <w:r w:rsidRPr="00631F7C">
        <w:rPr>
          <w:i/>
        </w:rPr>
        <w:instrText>A10-0061/2026</w:instrText>
      </w:r>
      <w:bookmarkEnd w:id="2"/>
      <w:r w:rsidRPr="00631F7C">
        <w:rPr>
          <w:i/>
        </w:rPr>
        <w:instrText xml:space="preserve"> - Izvjestitelj: Hélder Sousa Silva)"\l3 \n&gt; \* MERGEFORMAT </w:instrText>
      </w:r>
      <w:r w:rsidRPr="00631F7C">
        <w:rPr>
          <w:i/>
        </w:rPr>
        <w:fldChar w:fldCharType="end"/>
      </w:r>
    </w:p>
    <w:p w14:paraId="21CD6C34" w14:textId="77777777" w:rsidR="00D826E8" w:rsidRPr="00631F7C" w:rsidRDefault="00D826E8" w:rsidP="00D826E8">
      <w:pPr>
        <w:rPr>
          <w:vanish/>
        </w:rPr>
      </w:pPr>
      <w:bookmarkStart w:id="3" w:name="Commission"/>
      <w:r w:rsidRPr="00631F7C">
        <w:rPr>
          <w:vanish/>
        </w:rPr>
        <w:t>Odbor za proračune</w:t>
      </w:r>
      <w:bookmarkEnd w:id="3"/>
    </w:p>
    <w:p w14:paraId="60BCCF7F" w14:textId="77777777" w:rsidR="00D826E8" w:rsidRPr="00631F7C" w:rsidRDefault="00D826E8" w:rsidP="00D826E8">
      <w:pPr>
        <w:rPr>
          <w:vanish/>
        </w:rPr>
      </w:pPr>
      <w:bookmarkStart w:id="4" w:name="PE"/>
      <w:r w:rsidRPr="00631F7C">
        <w:rPr>
          <w:vanish/>
        </w:rPr>
        <w:t>PE784.477</w:t>
      </w:r>
      <w:bookmarkEnd w:id="4"/>
    </w:p>
    <w:p w14:paraId="4671155A" w14:textId="2246863B" w:rsidR="00D826E8" w:rsidRPr="00631F7C" w:rsidRDefault="00D826E8" w:rsidP="00D826E8">
      <w:pPr>
        <w:pStyle w:val="ATHeading3"/>
      </w:pPr>
      <w:bookmarkStart w:id="5" w:name="Sujet"/>
      <w:r w:rsidRPr="00631F7C">
        <w:t xml:space="preserve">Rezolucija Europskog parlamenta od </w:t>
      </w:r>
      <w:r w:rsidR="00B47446">
        <w:t>26. ožujka</w:t>
      </w:r>
      <w:r w:rsidRPr="00631F7C">
        <w:t xml:space="preserve"> 2026. o Prijedlogu odluke Europskog parlamenta i Vijeća o mobilizaciji Europskog fonda za prilagodbu globalizaciji za radnike koji su proglašeni viškom na temelju zahtjeva Belgije – EGF/2025/007 BE/</w:t>
      </w:r>
      <w:proofErr w:type="spellStart"/>
      <w:r w:rsidRPr="00631F7C">
        <w:t>Casa</w:t>
      </w:r>
      <w:bookmarkEnd w:id="5"/>
      <w:proofErr w:type="spellEnd"/>
      <w:r w:rsidRPr="00631F7C">
        <w:t xml:space="preserve"> </w:t>
      </w:r>
      <w:bookmarkStart w:id="6" w:name="References"/>
      <w:r w:rsidRPr="00631F7C">
        <w:t>(COM(2026)0003 – C10-0025/2026 – 2026/0038(BUD))</w:t>
      </w:r>
      <w:bookmarkEnd w:id="6"/>
    </w:p>
    <w:p w14:paraId="53F4F2C6" w14:textId="77777777" w:rsidR="007D1708" w:rsidRPr="00631F7C" w:rsidRDefault="007D1708" w:rsidP="007D1708">
      <w:pPr>
        <w:pStyle w:val="EPComma"/>
        <w:rPr>
          <w:noProof/>
        </w:rPr>
      </w:pPr>
      <w:r w:rsidRPr="00631F7C">
        <w:rPr>
          <w:i/>
        </w:rPr>
        <w:t>Europski parlament,</w:t>
      </w:r>
    </w:p>
    <w:p w14:paraId="77128439" w14:textId="77777777" w:rsidR="007D1708" w:rsidRPr="00631F7C" w:rsidRDefault="007D1708" w:rsidP="007D1708">
      <w:pPr>
        <w:pStyle w:val="NormalHanging12a"/>
        <w:rPr>
          <w:noProof/>
        </w:rPr>
      </w:pPr>
      <w:r w:rsidRPr="00631F7C">
        <w:t>–</w:t>
      </w:r>
      <w:r w:rsidRPr="00631F7C">
        <w:tab/>
        <w:t>uzimajući u obzir prijedlog Komisije upućen Europskom parlamentu i Vijeću (COM(2026)0003 – C10-0025/2026),</w:t>
      </w:r>
    </w:p>
    <w:p w14:paraId="1C6766EF" w14:textId="77777777" w:rsidR="007D1708" w:rsidRPr="00631F7C" w:rsidRDefault="007D1708" w:rsidP="007D1708">
      <w:pPr>
        <w:pStyle w:val="NormalHanging12a"/>
      </w:pPr>
      <w:r w:rsidRPr="00631F7C">
        <w:t>–</w:t>
      </w:r>
      <w:r w:rsidRPr="00631F7C">
        <w:tab/>
        <w:t>uzimajući u obzir Uredbu (EU) 2021/691 Europskog parlamenta i Vijeća od 28. travnja 2021. o Europskom fondu za prilagodbu globalizaciji za radnike koji su proglašeni viškom (EGF) i stavljanju izvan snage Uredbe (EU) br. 1309/2013</w:t>
      </w:r>
      <w:r w:rsidRPr="00631F7C">
        <w:rPr>
          <w:vertAlign w:val="superscript"/>
        </w:rPr>
        <w:footnoteReference w:id="1"/>
      </w:r>
      <w:r w:rsidRPr="00631F7C">
        <w:t xml:space="preserve"> („Uredba o EGF-u”), </w:t>
      </w:r>
    </w:p>
    <w:p w14:paraId="45E4ABC7" w14:textId="77777777" w:rsidR="007D1708" w:rsidRPr="00631F7C" w:rsidRDefault="007D1708" w:rsidP="007D1708">
      <w:pPr>
        <w:pStyle w:val="NormalHanging12a"/>
        <w:rPr>
          <w:noProof/>
        </w:rPr>
      </w:pPr>
      <w:r w:rsidRPr="00631F7C">
        <w:t>–</w:t>
      </w:r>
      <w:r w:rsidRPr="00631F7C">
        <w:tab/>
        <w:t>uzimajući u obzir Uredbu Vijeća (EU, Euratom) 2020/2093 od 17. prosinca 2020. kojom se utvrđuje višegodišnji financijski okvir za razdoblje 2021. – 2027. („Uredba o VFO-u”)</w:t>
      </w:r>
      <w:r w:rsidRPr="00631F7C">
        <w:rPr>
          <w:noProof/>
          <w:vertAlign w:val="superscript"/>
        </w:rPr>
        <w:footnoteReference w:id="2"/>
      </w:r>
      <w:r w:rsidRPr="00631F7C">
        <w:t>, kako je izmijenjena Uredbom (EU, Euratom) 2024/765</w:t>
      </w:r>
      <w:r w:rsidRPr="00631F7C">
        <w:rPr>
          <w:noProof/>
          <w:vertAlign w:val="superscript"/>
        </w:rPr>
        <w:footnoteReference w:id="3"/>
      </w:r>
      <w:r w:rsidRPr="00631F7C">
        <w:t xml:space="preserve">, a posebno njezin članak 8., </w:t>
      </w:r>
    </w:p>
    <w:p w14:paraId="709EB9AC" w14:textId="77777777" w:rsidR="007D1708" w:rsidRPr="00631F7C" w:rsidRDefault="007D1708" w:rsidP="007D1708">
      <w:pPr>
        <w:pStyle w:val="NormalHanging12a"/>
        <w:rPr>
          <w:noProof/>
        </w:rPr>
      </w:pPr>
      <w:r w:rsidRPr="00631F7C">
        <w:t>–</w:t>
      </w:r>
      <w:r w:rsidRPr="00631F7C">
        <w:tab/>
        <w:t xml:space="preserve">uzimajući u obzir </w:t>
      </w:r>
      <w:proofErr w:type="spellStart"/>
      <w:r w:rsidRPr="00631F7C">
        <w:t>Međuinstitucijski</w:t>
      </w:r>
      <w:proofErr w:type="spellEnd"/>
      <w:r w:rsidRPr="00631F7C">
        <w:t xml:space="preserve"> sporazum od 16. prosinca 2020. između Europskog parlamenta, Vijeća Europske unije i Europske komisije o proračunskoj disciplini, suradnji u proračunskim pitanjima i dobrom financijskom upravljanju te novim </w:t>
      </w:r>
      <w:r w:rsidRPr="00631F7C">
        <w:lastRenderedPageBreak/>
        <w:t>vlastitim sredstvima, uključujući plan za uvođenje novih vlastitih sredstava</w:t>
      </w:r>
      <w:r w:rsidRPr="00631F7C">
        <w:rPr>
          <w:rStyle w:val="FootnoteReference"/>
          <w:noProof/>
        </w:rPr>
        <w:footnoteReference w:id="4"/>
      </w:r>
      <w:r w:rsidRPr="00631F7C">
        <w:t>, a posebno njegovu točku 9.,</w:t>
      </w:r>
    </w:p>
    <w:p w14:paraId="1445E729" w14:textId="77777777" w:rsidR="007D1708" w:rsidRPr="00631F7C" w:rsidRDefault="007D1708" w:rsidP="007D1708">
      <w:pPr>
        <w:pStyle w:val="NormalHanging12a"/>
      </w:pPr>
      <w:r w:rsidRPr="00631F7C">
        <w:t>–</w:t>
      </w:r>
      <w:r w:rsidRPr="00631F7C">
        <w:tab/>
        <w:t>uzimajući u obzir europski stup socijalnih prava,</w:t>
      </w:r>
    </w:p>
    <w:p w14:paraId="58C1C41E" w14:textId="77777777" w:rsidR="007D1708" w:rsidRPr="00631F7C" w:rsidRDefault="007D1708" w:rsidP="007D1708">
      <w:pPr>
        <w:pStyle w:val="NormalHanging12a"/>
      </w:pPr>
      <w:r w:rsidRPr="00631F7C">
        <w:t>–</w:t>
      </w:r>
      <w:r w:rsidRPr="00631F7C">
        <w:tab/>
        <w:t>uzimajući u obzir pismo Odbora za zapošljavanje i socijalna pitanja,</w:t>
      </w:r>
    </w:p>
    <w:p w14:paraId="1C8DA3E5" w14:textId="28FF297E" w:rsidR="007D1708" w:rsidRPr="00631F7C" w:rsidRDefault="007D1708" w:rsidP="007D1708">
      <w:pPr>
        <w:pStyle w:val="NormalHanging12a"/>
      </w:pPr>
      <w:r w:rsidRPr="00631F7C">
        <w:t>–</w:t>
      </w:r>
      <w:r w:rsidRPr="00631F7C">
        <w:tab/>
        <w:t>uzimajući u obzir izvješće Odbora za proračune (A10-00</w:t>
      </w:r>
      <w:r w:rsidR="00FF1602">
        <w:t>61</w:t>
      </w:r>
      <w:r w:rsidRPr="00631F7C">
        <w:t>/2026),</w:t>
      </w:r>
    </w:p>
    <w:p w14:paraId="00D53860" w14:textId="77777777" w:rsidR="007D1708" w:rsidRPr="00631F7C" w:rsidRDefault="007D1708" w:rsidP="007D1708">
      <w:pPr>
        <w:pStyle w:val="NormalHanging12a"/>
        <w:rPr>
          <w:noProof/>
        </w:rPr>
      </w:pPr>
      <w:r w:rsidRPr="00631F7C">
        <w:t>A.</w:t>
      </w:r>
      <w:r w:rsidRPr="00631F7C">
        <w:tab/>
        <w:t>budući da je Unija uspostavila zakonodavne i proračunske instrumente kako bi pružila dodatnu potporu radnicima koji su pogođeni posljedicama velikih strukturnih događaja i promjena u svjetskim trgovinskim tokovima te kako bi im se pružila pomoć prilikom njihova ponovnog uključivanja na tržište rada; budući da se ta pomoć ostvaruje u obliku financijske potpore radnicima;</w:t>
      </w:r>
    </w:p>
    <w:p w14:paraId="0EE0667D" w14:textId="77777777" w:rsidR="007D1708" w:rsidRPr="00631F7C" w:rsidRDefault="007D1708" w:rsidP="007D1708">
      <w:pPr>
        <w:pStyle w:val="NormalHanging12a"/>
      </w:pPr>
      <w:r w:rsidRPr="00631F7C">
        <w:t>B.</w:t>
      </w:r>
      <w:r w:rsidRPr="00631F7C">
        <w:tab/>
        <w:t>budući da je Belgija podnijela zahtjev EGF/2025/007 BE/</w:t>
      </w:r>
      <w:proofErr w:type="spellStart"/>
      <w:r w:rsidRPr="00631F7C">
        <w:t>Casa</w:t>
      </w:r>
      <w:proofErr w:type="spellEnd"/>
      <w:r w:rsidRPr="00631F7C">
        <w:t xml:space="preserve"> za financijski doprinos iz EGF-a nakon otpuštanja 416 radnika</w:t>
      </w:r>
      <w:r w:rsidRPr="00631F7C">
        <w:rPr>
          <w:vertAlign w:val="superscript"/>
        </w:rPr>
        <w:footnoteReference w:id="5"/>
      </w:r>
      <w:r w:rsidRPr="00631F7C">
        <w:t xml:space="preserve"> u poduzeću </w:t>
      </w:r>
      <w:proofErr w:type="spellStart"/>
      <w:r w:rsidRPr="00631F7C">
        <w:t>Casa</w:t>
      </w:r>
      <w:proofErr w:type="spellEnd"/>
      <w:r w:rsidRPr="00631F7C">
        <w:t xml:space="preserve"> International NV (</w:t>
      </w:r>
      <w:proofErr w:type="spellStart"/>
      <w:r w:rsidRPr="00631F7C">
        <w:t>Casa</w:t>
      </w:r>
      <w:proofErr w:type="spellEnd"/>
      <w:r w:rsidRPr="00631F7C">
        <w:t xml:space="preserve">) u Belgiji u sektoru gospodarstva svrstanom u odjeljak 47. (Trgovina na malo, osim trgovine motornim vozilima i motociklima) i odjeljak 52 (Skladištenje i prateće djelatnosti u prijevozu) NACE-a </w:t>
      </w:r>
      <w:proofErr w:type="spellStart"/>
      <w:r w:rsidRPr="00631F7C">
        <w:t>Rev</w:t>
      </w:r>
      <w:proofErr w:type="spellEnd"/>
      <w:r w:rsidRPr="00631F7C">
        <w:t xml:space="preserve">. 2 u pokrajini Antwerpen (BE21) u Flandriji, u referentnom razdoblju od 6. ožujka 2025. do 6. srpnja 2025.; </w:t>
      </w:r>
    </w:p>
    <w:p w14:paraId="51C871F2" w14:textId="4B0B52D1" w:rsidR="007D1708" w:rsidRPr="00631F7C" w:rsidRDefault="007D1708" w:rsidP="007D1708">
      <w:pPr>
        <w:pStyle w:val="NormalHanging12a"/>
      </w:pPr>
      <w:r w:rsidRPr="00631F7C">
        <w:t>C.</w:t>
      </w:r>
      <w:r w:rsidRPr="00631F7C">
        <w:tab/>
        <w:t xml:space="preserve">budući da je zahtjev podnesen na temelju intervencijskih kriterija iz članka 4. stavka 2. točke (a) Uredbe o EGF-u; budući da se otpuštanje </w:t>
      </w:r>
      <w:r w:rsidR="00B47446">
        <w:t>257</w:t>
      </w:r>
      <w:r w:rsidRPr="00631F7C">
        <w:t xml:space="preserve"> radnika odnosi na poduzeće </w:t>
      </w:r>
      <w:proofErr w:type="spellStart"/>
      <w:r w:rsidRPr="00631F7C">
        <w:t>Casa</w:t>
      </w:r>
      <w:proofErr w:type="spellEnd"/>
      <w:r w:rsidRPr="00631F7C">
        <w:t xml:space="preserve"> International NV (trgovina na malo), sa 65 maloprodajnih mjesta diljem Belgije, a otpuštanje 159 radnika se odnosi na poduzeće </w:t>
      </w:r>
      <w:proofErr w:type="spellStart"/>
      <w:r w:rsidRPr="00631F7C">
        <w:t>Casa</w:t>
      </w:r>
      <w:proofErr w:type="spellEnd"/>
      <w:r w:rsidRPr="00631F7C">
        <w:t xml:space="preserve"> </w:t>
      </w:r>
      <w:proofErr w:type="spellStart"/>
      <w:r w:rsidRPr="00631F7C">
        <w:t>Logistics</w:t>
      </w:r>
      <w:proofErr w:type="spellEnd"/>
      <w:r w:rsidRPr="00631F7C">
        <w:t xml:space="preserve"> NV (skladištenje) koje je odgovorno za skladištenje i distribuciju tim prodajnim mjestima; </w:t>
      </w:r>
    </w:p>
    <w:p w14:paraId="11C84086" w14:textId="77777777" w:rsidR="007D1708" w:rsidRPr="00631F7C" w:rsidRDefault="007D1708" w:rsidP="007D1708">
      <w:pPr>
        <w:pStyle w:val="NormalHanging12a"/>
        <w:rPr>
          <w:noProof/>
        </w:rPr>
      </w:pPr>
      <w:r w:rsidRPr="00631F7C">
        <w:t>D.</w:t>
      </w:r>
      <w:r w:rsidRPr="00631F7C">
        <w:tab/>
        <w:t xml:space="preserve">budući da je </w:t>
      </w:r>
      <w:proofErr w:type="spellStart"/>
      <w:r w:rsidRPr="00631F7C">
        <w:t>Casa</w:t>
      </w:r>
      <w:proofErr w:type="spellEnd"/>
      <w:r w:rsidRPr="00631F7C">
        <w:t xml:space="preserve"> 6. ožujka 2025. pokrenula stečajni postupak; budući da Belgija od 2022. bilježi rast broja stečajeva, posebno u maloprodajnom sektoru, koji prolazi kroz korjenitu strukturnu preobrazbu potaknutu porastom e-trgovine i promjenama potrošačkih navika; budući da žene čine 67,5 % radne snage u tom slučaju; stoga naglašava da bi se mjerama potpore u okviru EGF-a trebale uzeti u obzir posebne potrebe i prepreke s kojima se te žene suočavaju pri ponovnom ulasku na tržište rada;</w:t>
      </w:r>
    </w:p>
    <w:p w14:paraId="4A600A2E" w14:textId="77777777" w:rsidR="007D1708" w:rsidRPr="00631F7C" w:rsidRDefault="007D1708" w:rsidP="007D1708">
      <w:pPr>
        <w:pStyle w:val="NormalHanging12a"/>
      </w:pPr>
      <w:r w:rsidRPr="00631F7C">
        <w:t>E.</w:t>
      </w:r>
      <w:r w:rsidRPr="00631F7C">
        <w:tab/>
        <w:t xml:space="preserve">budući da flamanska služba za zapošljavanje (VDAB) osigurava nacionalno </w:t>
      </w:r>
      <w:proofErr w:type="spellStart"/>
      <w:r w:rsidRPr="00631F7C">
        <w:t>pretfinanciranje</w:t>
      </w:r>
      <w:proofErr w:type="spellEnd"/>
      <w:r w:rsidRPr="00631F7C">
        <w:t xml:space="preserve"> i sufinanciranje mjera;</w:t>
      </w:r>
    </w:p>
    <w:p w14:paraId="617354B6" w14:textId="77777777" w:rsidR="007D1708" w:rsidRPr="00631F7C" w:rsidRDefault="007D1708" w:rsidP="007D1708">
      <w:pPr>
        <w:pStyle w:val="NormalHanging12a"/>
      </w:pPr>
      <w:r w:rsidRPr="00631F7C">
        <w:t>F.</w:t>
      </w:r>
      <w:r w:rsidRPr="00631F7C">
        <w:tab/>
        <w:t>budući da su predmetna poduzeća ispunila zahtjeve utvrđene zakonodavstvom Unije i nacionalnim zakonodavstvom o kolektivnom otpuštanju;</w:t>
      </w:r>
    </w:p>
    <w:p w14:paraId="2085A755" w14:textId="77777777" w:rsidR="007D1708" w:rsidRPr="00631F7C" w:rsidRDefault="007D1708" w:rsidP="007D1708">
      <w:pPr>
        <w:pStyle w:val="NormalHanging12a"/>
      </w:pPr>
      <w:r w:rsidRPr="00631F7C">
        <w:t>G.</w:t>
      </w:r>
      <w:r w:rsidRPr="00631F7C">
        <w:tab/>
        <w:t>budući da bi financijski doprinos iz EGF-a ponajprije trebao biti usmjeren na aktivne mjere politike tržišta rada i personalizirane usluge čiji je cilj brza reintegracija korisnika u tržište rada, istodobno im nudeći osposobljavanje radi stjecanja vještina kako bi im se olakšalo pristupanje tržištu rada;</w:t>
      </w:r>
    </w:p>
    <w:p w14:paraId="427119DB" w14:textId="77777777" w:rsidR="007D1708" w:rsidRPr="00631F7C" w:rsidRDefault="007D1708" w:rsidP="007D1708">
      <w:pPr>
        <w:pStyle w:val="NormalHanging12a"/>
      </w:pPr>
      <w:r w:rsidRPr="00631F7C">
        <w:lastRenderedPageBreak/>
        <w:t>H.</w:t>
      </w:r>
      <w:r w:rsidRPr="00631F7C">
        <w:tab/>
        <w:t>budući da EGF ne smije premašiti najviši dopušteni godišnji iznos od 30 milijuna EUR (u cijenama iz 2018.)</w:t>
      </w:r>
      <w:r w:rsidRPr="00631F7C">
        <w:rPr>
          <w:rStyle w:val="FootnoteReference"/>
        </w:rPr>
        <w:footnoteReference w:id="6"/>
      </w:r>
      <w:r w:rsidRPr="00631F7C">
        <w:t xml:space="preserve">; </w:t>
      </w:r>
    </w:p>
    <w:p w14:paraId="07F9C652" w14:textId="77777777" w:rsidR="007D1708" w:rsidRPr="00631F7C" w:rsidRDefault="007D1708" w:rsidP="007D1708">
      <w:pPr>
        <w:pStyle w:val="NormalHanging12a"/>
      </w:pPr>
      <w:r w:rsidRPr="00631F7C">
        <w:t>1.</w:t>
      </w:r>
      <w:r w:rsidRPr="00631F7C">
        <w:tab/>
        <w:t>slaže se s Komisijom da su uvjeti iz Uredbe o EGF-u, a posebno oni iz njezina članka 4. stavka 2. točke (a), ispunjeni i da Belgija u skladu s tom Uredbom ima pravo na financijski doprinos u iznosu od 1 916 733 EUR, odnosno 85 % ukupnog troška od 2 254 980 EUR, što obuhvaća troškove za personalizirane usluge u iznosu od 2 168 980 EUR i troškove za aktivnosti pripreme, upravljanja, informiranja i promidžbe te kontrole i izvješćivanja u iznosu od 86 000 EUR;</w:t>
      </w:r>
    </w:p>
    <w:p w14:paraId="1439F083" w14:textId="0C74F924" w:rsidR="007D1708" w:rsidRPr="00631F7C" w:rsidRDefault="007D1708" w:rsidP="007D1708">
      <w:pPr>
        <w:pStyle w:val="NormalHanging12a"/>
      </w:pPr>
      <w:r w:rsidRPr="00631F7C">
        <w:t>2.</w:t>
      </w:r>
      <w:r w:rsidRPr="00631F7C">
        <w:tab/>
      </w:r>
      <w:r w:rsidR="005B25E1">
        <w:t>primjećuje</w:t>
      </w:r>
      <w:r w:rsidR="005B25E1" w:rsidRPr="00631F7C">
        <w:t xml:space="preserve"> </w:t>
      </w:r>
      <w:r w:rsidRPr="00631F7C">
        <w:t>da su belgijske vlasti zahtjev podnijele 23. rujna 2025. te da je, na temelju dodatnih informacija koje je primila od Belgije, Komisija ocjenjivanje zahtjeva dovršila 6. veljače 2026. i o tome 11. veljače 2026. obavijestila Parlament; naglašava da je važno skratiti vrijeme između podnošenja zahtjeva za pomoć iz EGF-a i odluke o financiranju uz istodobnu punu zaštitu prava Europskog parlamenta kao jedne grane proračunskog tijela;</w:t>
      </w:r>
    </w:p>
    <w:p w14:paraId="0DCC9853" w14:textId="77777777" w:rsidR="007D1708" w:rsidRPr="00631F7C" w:rsidRDefault="007D1708" w:rsidP="007D1708">
      <w:pPr>
        <w:pStyle w:val="NormalHanging12a"/>
      </w:pPr>
      <w:r w:rsidRPr="00631F7C">
        <w:t>3.</w:t>
      </w:r>
      <w:r w:rsidRPr="00631F7C">
        <w:tab/>
        <w:t xml:space="preserve">primjećuje da se zahtjev odnosi na radnike koji su prestali obavljati svoju djelatnost u dva poduzeća u </w:t>
      </w:r>
      <w:proofErr w:type="spellStart"/>
      <w:r w:rsidRPr="00631F7C">
        <w:t>Casi</w:t>
      </w:r>
      <w:proofErr w:type="spellEnd"/>
      <w:r w:rsidRPr="00631F7C">
        <w:t xml:space="preserve"> i da će svi oni biti ciljani korisnici;</w:t>
      </w:r>
    </w:p>
    <w:p w14:paraId="7CFC6D9C" w14:textId="77777777" w:rsidR="007D1708" w:rsidRPr="00631F7C" w:rsidRDefault="007D1708" w:rsidP="007D1708">
      <w:pPr>
        <w:pStyle w:val="NormalHanging12a"/>
      </w:pPr>
      <w:r w:rsidRPr="00631F7C">
        <w:t>4.</w:t>
      </w:r>
      <w:r w:rsidRPr="00631F7C">
        <w:tab/>
        <w:t xml:space="preserve">prima na znanje da se </w:t>
      </w:r>
      <w:proofErr w:type="spellStart"/>
      <w:r w:rsidRPr="00631F7C">
        <w:t>Casa</w:t>
      </w:r>
      <w:proofErr w:type="spellEnd"/>
      <w:r w:rsidRPr="00631F7C">
        <w:t xml:space="preserve"> već nekoliko godina prije proglašenja stečaja nalazila u financijskim poteškoćama koje su posljedica znatno veće prisutnosti e-trgovine, snažnije međunarodne konkurencije i nepoštenih uvjeta tržišnog natjecanja, što je u konačnici dovelo do ozbiljnog manjka likvidnosti i nemogućnosti utvrđivanja potencijalnih kupaca za to poduzeće; ističe potrebu za jačanjem kapaciteta poslovnog upravljanja kako bi se otpuštanja spriječila prilagodbom trenutačnom geopolitičkom kontekstu i kako bi se proaktivno nosilo s velikim restrukturiranjima;</w:t>
      </w:r>
    </w:p>
    <w:p w14:paraId="7B05E21E" w14:textId="7E868C0D" w:rsidR="007D1708" w:rsidRPr="00631F7C" w:rsidRDefault="007D1708" w:rsidP="007D1708">
      <w:pPr>
        <w:pStyle w:val="NormalHanging12a"/>
        <w:rPr>
          <w:noProof/>
        </w:rPr>
      </w:pPr>
      <w:r w:rsidRPr="00631F7C">
        <w:t>5.</w:t>
      </w:r>
      <w:r w:rsidRPr="00631F7C">
        <w:tab/>
      </w:r>
      <w:r w:rsidR="005B25E1">
        <w:t>primjećuje</w:t>
      </w:r>
      <w:r w:rsidR="005B25E1" w:rsidRPr="005B25E1">
        <w:t xml:space="preserve"> </w:t>
      </w:r>
      <w:r w:rsidRPr="00631F7C">
        <w:t>da se, u usporedbi s otpuštenim prodajnim asistentima koji imaju najpovoljnije izglede za zapošljavanje, radnici u skladištima suočavaju s većim poteškoćama u pronalaženju novih radnih mjesta i da im je potrebna dodatna potpora u vidu usavršavanja, prekvalifikacije, premještanja ili preraspodjele; poziva belgijske vlasti da pruže posebno prilagođenu potporu kako bi se radnicima pomoglo da prevladaju svoje nedostatke i pronađu nova radna mjesta usklađena s potrebama na tržištu rada; naglašava da je reintegracija otpuštenih radnika ključna za europsko gospodarstvo sa snažnom industrijskom bazom i otporno na promjene u budućnosti;</w:t>
      </w:r>
    </w:p>
    <w:p w14:paraId="2BC0A132" w14:textId="0AB7D4D9" w:rsidR="007D1708" w:rsidRPr="00631F7C" w:rsidRDefault="007D1708" w:rsidP="007D1708">
      <w:pPr>
        <w:pStyle w:val="NormalHanging12a"/>
      </w:pPr>
      <w:r w:rsidRPr="00631F7C">
        <w:t>6.</w:t>
      </w:r>
      <w:r w:rsidRPr="00631F7C">
        <w:tab/>
        <w:t xml:space="preserve">žali zbog toga što je povećanje broja stečajeva tijekom posljednje dvije godine negativno utjecalo na stopu zaposlenosti u nekim regijama u Belgiji, posebno u Bruxellesu i </w:t>
      </w:r>
      <w:proofErr w:type="spellStart"/>
      <w:r w:rsidRPr="00631F7C">
        <w:t>Olenu</w:t>
      </w:r>
      <w:proofErr w:type="spellEnd"/>
      <w:r w:rsidRPr="00631F7C">
        <w:t xml:space="preserve"> (pokrajina </w:t>
      </w:r>
      <w:proofErr w:type="spellStart"/>
      <w:r w:rsidRPr="00631F7C">
        <w:t>Antwerp</w:t>
      </w:r>
      <w:proofErr w:type="spellEnd"/>
      <w:r w:rsidRPr="00631F7C">
        <w:t>); konstatira da je u Belgiji u roku od 18 mjeseci zbog stečaja otpušteno oko 45 000 radnika, uglavnom u Flandriji; naglašava da je u Flandriji rizik od nezaposlenosti više nego dvostruko veći za osobe s niskom razinom obrazovanja; naglašava važnost okruženja pogodnog za poslovanje koje poduzećima omogućuje da i dalje budu konkurentna, otvaraju radna mjesta i doprinose održivom gospodarskom rastu</w:t>
      </w:r>
      <w:r w:rsidR="00A5220A">
        <w:t>;</w:t>
      </w:r>
    </w:p>
    <w:p w14:paraId="17F4BE3A" w14:textId="77777777" w:rsidR="007D1708" w:rsidRPr="00631F7C" w:rsidRDefault="007D1708" w:rsidP="007D1708">
      <w:pPr>
        <w:pStyle w:val="NormalHanging12a"/>
      </w:pPr>
      <w:r w:rsidRPr="00631F7C">
        <w:t>7.</w:t>
      </w:r>
      <w:r w:rsidRPr="00631F7C">
        <w:tab/>
        <w:t xml:space="preserve">podsjeća na to da se, u dogovoru sa stručnjacima i socijalnim partnerima, </w:t>
      </w:r>
      <w:r w:rsidRPr="00631F7C">
        <w:lastRenderedPageBreak/>
        <w:t xml:space="preserve">personalizirane usluge koje će se pružati radnicima sastoje od sljedećih mjera: informativnih predavanja o reintegraciji na tržište rada, usluga pomoći u pronalaženju novog radnog mjesta kako bi se radnicima pomoglo u traženju posla, aktivnog posredovanja usmjerenog na profil svakog tražitelja zaposlenja, personaliziranih programa za razvoj vještina, uključujući informatičke vještine, osposobljavanja i prekvalifikacije, pojedinačnog osposobljavanja na radnom mjestu i sudjelovanja na sajmu poslova; ističe važnost poticanja visokokvalitetnih radnih mjesta usmjerenih na budućnost kojima se jača konkurentnost i podupire digitalna transformacija, uz istodobno osiguravanje pravilne provedbe EGF-a i njegova doprinosa dugoročnoj gospodarskoj i socijalnoj otpornosti Unije; naglašava da bi socijalni partneri trebali biti uključeni u cjelokupni postupak provedbe mjera EGF-a, uključujući fazu praćenja, kako bi se osigurala kvaliteta i relevantnost potpore koja se nudi korisnicima; </w:t>
      </w:r>
    </w:p>
    <w:p w14:paraId="2332805A" w14:textId="77777777" w:rsidR="007D1708" w:rsidRPr="00631F7C" w:rsidRDefault="007D1708" w:rsidP="007D1708">
      <w:pPr>
        <w:pStyle w:val="NormalHanging12a"/>
      </w:pPr>
      <w:r w:rsidRPr="00631F7C">
        <w:t>8.</w:t>
      </w:r>
      <w:r w:rsidRPr="00631F7C">
        <w:tab/>
        <w:t>podsjeća da je EGF instrument solidarnosti i pravedne tranzicije te da, iako pruža potporu nakon gubitka radnih mjesta, ne može zamijeniti proaktivnu industrijsku politiku; smatra da mobilizacija EGF-a treba biti ugrađena u širi politički odgovor na svim političkim razinama kako bi se osiguralo da pogođeni radnici pronađu odgovarajuće mogućnosti u skladu sa svojim kvalifikacijama i vještinama; naglašava da primarna zadaća Unije mora biti sprečavanje takvih zatvaranja, prije svega stvaranjem uvjeta da bi industrijska proizvodnja ostala konkurentna, uz istodobno ulaganje u vještine i za visokokvalificirane i za industrijske radnike; naglašava da je potrebno pružiti posebnu potporu prilagođenu profilima radnika s niskim razinama obrazovanja, uz istodobno poduzimanje mjera za smanjenje stečajeva i rješavanje socijalnih nejednakosti koje dovode do isključenosti iz radne snage;</w:t>
      </w:r>
    </w:p>
    <w:p w14:paraId="6372C8E5" w14:textId="77777777" w:rsidR="007D1708" w:rsidRPr="00631F7C" w:rsidRDefault="007D1708" w:rsidP="007D1708">
      <w:pPr>
        <w:pStyle w:val="NormalHanging12a"/>
        <w:rPr>
          <w:bCs/>
          <w:iCs/>
        </w:rPr>
      </w:pPr>
      <w:r w:rsidRPr="00631F7C">
        <w:t>9.</w:t>
      </w:r>
      <w:r w:rsidRPr="00631F7C">
        <w:tab/>
        <w:t>naglašava da belgijske vlasti moraju osigurati vidljivost financiranja Unije i istaknuti njegovu dodanu vrijednost pružanjem učinkovitih i ciljanih informacija korisnicima, regionalnim i lokalnim vlastima, socijalnim partnerima i široj javnosti;</w:t>
      </w:r>
    </w:p>
    <w:p w14:paraId="4591EEFB" w14:textId="77777777" w:rsidR="007D1708" w:rsidRPr="00631F7C" w:rsidRDefault="007D1708" w:rsidP="007D1708">
      <w:pPr>
        <w:pStyle w:val="NormalHanging12a"/>
      </w:pPr>
      <w:r w:rsidRPr="00631F7C">
        <w:t>10.</w:t>
      </w:r>
      <w:r w:rsidRPr="00631F7C">
        <w:tab/>
        <w:t xml:space="preserve">poziva na temeljitu završnu evaluaciju provedenih mjera, uključujući jasne informacije o tome kako su sredstva iskorištena, o uspjehu </w:t>
      </w:r>
      <w:proofErr w:type="spellStart"/>
      <w:r w:rsidRPr="00631F7C">
        <w:t>reintegriranja</w:t>
      </w:r>
      <w:proofErr w:type="spellEnd"/>
      <w:r w:rsidRPr="00631F7C">
        <w:t xml:space="preserve"> radnika na tržište rada i o tome jesu li mjerama postignuti ciljevi zbog kojih je EGF osnovan;</w:t>
      </w:r>
    </w:p>
    <w:p w14:paraId="0A89DB58" w14:textId="496D41B4" w:rsidR="007D1708" w:rsidRPr="00631F7C" w:rsidRDefault="007D1708" w:rsidP="007D1708">
      <w:pPr>
        <w:pStyle w:val="NormalHanging12a"/>
      </w:pPr>
      <w:r w:rsidRPr="00631F7C">
        <w:t>11.</w:t>
      </w:r>
      <w:r w:rsidRPr="00631F7C">
        <w:tab/>
      </w:r>
      <w:r w:rsidR="005B25E1">
        <w:t>primjećuje</w:t>
      </w:r>
      <w:r w:rsidRPr="00631F7C">
        <w:t xml:space="preserve"> da je Belgija ciljanim korisnicima počela pružati personalizirane usluge 14. ožujka 2025. i da će stoga razdoblje prihvatljivosti za financijski doprinos iz EGF-a trajati od tog datuma do datuma koji nastupi 24 mjeseca nakon stupanja na snagu odluke o financiranju;</w:t>
      </w:r>
    </w:p>
    <w:p w14:paraId="65B06F5F" w14:textId="2FDE0208" w:rsidR="007D1708" w:rsidRPr="00631F7C" w:rsidRDefault="007D1708" w:rsidP="007D1708">
      <w:pPr>
        <w:pStyle w:val="NormalHanging12a"/>
        <w:rPr>
          <w:sz w:val="23"/>
          <w:szCs w:val="23"/>
        </w:rPr>
      </w:pPr>
      <w:r w:rsidRPr="00631F7C">
        <w:t>12.</w:t>
      </w:r>
      <w:r w:rsidRPr="00631F7C">
        <w:tab/>
      </w:r>
      <w:r w:rsidR="005B25E1">
        <w:t xml:space="preserve">primjećuje </w:t>
      </w:r>
      <w:r w:rsidRPr="00631F7C">
        <w:t xml:space="preserve">da Belgija od </w:t>
      </w:r>
      <w:r w:rsidR="00A5220A">
        <w:t>6. ožujka 2025.</w:t>
      </w:r>
      <w:r w:rsidRPr="00631F7C">
        <w:t xml:space="preserve"> snosi administrativne izdatke provedbe EGF-a te da ti izdaci stoga ispunjavaju uvjete za financijski doprinos iz EGF-a od tog datuma do datuma koji nastupi 31 mjesec nakon stupanja na snagu odluke o financiranju;</w:t>
      </w:r>
    </w:p>
    <w:p w14:paraId="3CAD7664" w14:textId="77777777" w:rsidR="007D1708" w:rsidRPr="00631F7C" w:rsidRDefault="007D1708" w:rsidP="007D1708">
      <w:pPr>
        <w:pStyle w:val="NormalHanging12a"/>
      </w:pPr>
      <w:r w:rsidRPr="00631F7C">
        <w:t>13.</w:t>
      </w:r>
      <w:r w:rsidRPr="00631F7C">
        <w:tab/>
        <w:t>primjećuje da su belgijske vlasti pružile jamstvo da će se u pristupu predloženim mjerama i u njihovoj provedbi poštovati načela jednakog postupanja i nediskriminacije te da će se spriječiti svako dvostruko financiranje;</w:t>
      </w:r>
    </w:p>
    <w:p w14:paraId="65A39CDD" w14:textId="7300AFD0" w:rsidR="007D1708" w:rsidRPr="00631F7C" w:rsidRDefault="007D1708" w:rsidP="007D1708">
      <w:pPr>
        <w:pStyle w:val="NormalHanging12a"/>
      </w:pPr>
      <w:r w:rsidRPr="00631F7C">
        <w:t>14.</w:t>
      </w:r>
      <w:r w:rsidRPr="00631F7C">
        <w:tab/>
        <w:t>ponovno ističe da pomoć iz EGF-a ne smije zamijeniti mjere za koje su prema nacionalnom pravu ili kolektivnim ugovorima odgovorna javna tijela ili poduzeća; podsjeća da je EGF ograničen, ciljan i dopunski mehanizam</w:t>
      </w:r>
      <w:r w:rsidR="00A5220A">
        <w:t>;</w:t>
      </w:r>
    </w:p>
    <w:p w14:paraId="50C5AF83" w14:textId="77777777" w:rsidR="007D1708" w:rsidRPr="00631F7C" w:rsidRDefault="007D1708" w:rsidP="007D1708">
      <w:pPr>
        <w:pStyle w:val="NormalHanging12a"/>
      </w:pPr>
      <w:r w:rsidRPr="00631F7C">
        <w:lastRenderedPageBreak/>
        <w:t>15.</w:t>
      </w:r>
      <w:r w:rsidRPr="00631F7C">
        <w:tab/>
        <w:t>odobrava Odluku priloženu ovoj Rezoluciji;</w:t>
      </w:r>
    </w:p>
    <w:p w14:paraId="4AEB1DA4" w14:textId="77777777" w:rsidR="007D1708" w:rsidRPr="00631F7C" w:rsidRDefault="007D1708" w:rsidP="007D1708">
      <w:pPr>
        <w:pStyle w:val="NormalHanging12a"/>
      </w:pPr>
      <w:r w:rsidRPr="00631F7C">
        <w:t>16.</w:t>
      </w:r>
      <w:r w:rsidRPr="00631F7C">
        <w:tab/>
        <w:t xml:space="preserve">nalaže svojoj predsjednici da potpiše ovu Odluku zajedno s predsjednikom Vijeća te da je da na objavu u </w:t>
      </w:r>
      <w:r w:rsidRPr="004D62BA">
        <w:rPr>
          <w:i/>
          <w:iCs/>
        </w:rPr>
        <w:t>Službenom listu Europske unije</w:t>
      </w:r>
      <w:r w:rsidRPr="00631F7C">
        <w:t>;</w:t>
      </w:r>
    </w:p>
    <w:p w14:paraId="73542068" w14:textId="471E9F6C" w:rsidR="007D1708" w:rsidRPr="00631F7C" w:rsidRDefault="007D1708" w:rsidP="001C52EA">
      <w:pPr>
        <w:pStyle w:val="NormalHanging12a"/>
        <w:rPr>
          <w:noProof/>
        </w:rPr>
      </w:pPr>
      <w:r w:rsidRPr="00631F7C">
        <w:t>17.</w:t>
      </w:r>
      <w:r w:rsidRPr="00631F7C">
        <w:tab/>
        <w:t>nalaže svojoj predsjednici da ovu Rezoluciju, zajedno s njezinim Prilogom, proslijedi Vijeću i Komisiji.</w:t>
      </w:r>
    </w:p>
    <w:p w14:paraId="7D6C26D8" w14:textId="77777777" w:rsidR="007D1708" w:rsidRPr="00631F7C" w:rsidRDefault="007D1708" w:rsidP="007D1708">
      <w:pPr>
        <w:pStyle w:val="PageHeading"/>
        <w:rPr>
          <w:noProof/>
        </w:rPr>
        <w:sectPr w:rsidR="007D1708" w:rsidRPr="00631F7C" w:rsidSect="00631F7C">
          <w:headerReference w:type="even" r:id="rId9"/>
          <w:headerReference w:type="default" r:id="rId10"/>
          <w:footerReference w:type="even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84F7AB2" w14:textId="77777777" w:rsidR="001C52EA" w:rsidRPr="001C52EA" w:rsidRDefault="007D1708" w:rsidP="007D1708">
      <w:pPr>
        <w:pStyle w:val="PageHeading"/>
        <w:rPr>
          <w:rFonts w:ascii="Times New Roman" w:hAnsi="Times New Roman" w:cs="Times New Roman"/>
        </w:rPr>
      </w:pPr>
      <w:bookmarkStart w:id="7" w:name="_Toc221116748"/>
      <w:bookmarkStart w:id="8" w:name="_Toc224741318"/>
      <w:r w:rsidRPr="001C52EA">
        <w:rPr>
          <w:rFonts w:ascii="Times New Roman" w:hAnsi="Times New Roman" w:cs="Times New Roman"/>
        </w:rPr>
        <w:lastRenderedPageBreak/>
        <w:t>PRILOG</w:t>
      </w:r>
      <w:bookmarkStart w:id="9" w:name="_Hlk219192825"/>
    </w:p>
    <w:p w14:paraId="391B306B" w14:textId="1DE36968" w:rsidR="007D1708" w:rsidRPr="001C52EA" w:rsidRDefault="007D1708" w:rsidP="007D1708">
      <w:pPr>
        <w:pStyle w:val="PageHeading"/>
        <w:rPr>
          <w:rFonts w:ascii="Times New Roman" w:hAnsi="Times New Roman" w:cs="Times New Roman"/>
        </w:rPr>
      </w:pPr>
      <w:r w:rsidRPr="001C52EA">
        <w:rPr>
          <w:rFonts w:ascii="Times New Roman" w:hAnsi="Times New Roman" w:cs="Times New Roman"/>
        </w:rPr>
        <w:t>ODLUKA EUROPSKOG PARLAMENTA I VIJEĆA</w:t>
      </w:r>
      <w:bookmarkEnd w:id="7"/>
      <w:bookmarkEnd w:id="8"/>
    </w:p>
    <w:bookmarkEnd w:id="9"/>
    <w:p w14:paraId="631D4DC3" w14:textId="77777777" w:rsidR="007D1708" w:rsidRDefault="007D1708" w:rsidP="007D1708">
      <w:pPr>
        <w:pStyle w:val="Titreobjet"/>
      </w:pPr>
      <w:r w:rsidRPr="00631F7C">
        <w:t>o mobilizaciji Europskog fonda za prilagodbu globalizaciji za radnike koji su proglašeni viškom na temelju zahtjeva Belgije – EGF/2025/007 BE/</w:t>
      </w:r>
      <w:proofErr w:type="spellStart"/>
      <w:r w:rsidRPr="00631F7C">
        <w:t>Casa</w:t>
      </w:r>
      <w:proofErr w:type="spellEnd"/>
    </w:p>
    <w:p w14:paraId="2849E61B" w14:textId="78AE6295" w:rsidR="001C52EA" w:rsidRDefault="001C52EA" w:rsidP="001C52EA">
      <w:pPr>
        <w:rPr>
          <w:i/>
        </w:rPr>
      </w:pPr>
      <w:r>
        <w:rPr>
          <w:i/>
        </w:rPr>
        <w:t xml:space="preserve">(Tekst ovog priloga nije naveden ovdje budući da odgovara konačnom aktu, </w:t>
      </w:r>
      <w:r>
        <w:rPr>
          <w:i/>
        </w:rPr>
        <w:t xml:space="preserve">Odluci </w:t>
      </w:r>
      <w:r w:rsidRPr="001C52EA">
        <w:rPr>
          <w:i/>
        </w:rPr>
        <w:t>(EU) 2026/851.)</w:t>
      </w:r>
    </w:p>
    <w:p w14:paraId="0629569F" w14:textId="77777777" w:rsidR="008D6884" w:rsidRPr="001C52EA" w:rsidRDefault="008D6884" w:rsidP="001C52EA">
      <w:pPr>
        <w:rPr>
          <w:lang w:eastAsia="en-US"/>
        </w:rPr>
      </w:pPr>
    </w:p>
    <w:sectPr w:rsidR="008D6884" w:rsidRPr="001C52EA" w:rsidSect="00631F7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CED6C" w14:textId="77777777" w:rsidR="00D826E8" w:rsidRPr="00631F7C" w:rsidRDefault="00D826E8">
      <w:r w:rsidRPr="00631F7C">
        <w:separator/>
      </w:r>
    </w:p>
  </w:endnote>
  <w:endnote w:type="continuationSeparator" w:id="0">
    <w:p w14:paraId="6F6B8B4C" w14:textId="77777777" w:rsidR="00D826E8" w:rsidRPr="00631F7C" w:rsidRDefault="00D826E8">
      <w:r w:rsidRPr="00631F7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F759C" w14:textId="77777777" w:rsidR="007D1708" w:rsidRPr="00631F7C" w:rsidRDefault="007D1708" w:rsidP="00C36928">
    <w:pPr>
      <w:pStyle w:val="EPFooter"/>
    </w:pPr>
    <w:r w:rsidRPr="00631F7C">
      <w:t>PE</w:t>
    </w:r>
    <w:r w:rsidRPr="00631F7C">
      <w:rPr>
        <w:rStyle w:val="HideTWBExt"/>
      </w:rPr>
      <w:t>&lt;NoPE&gt;</w:t>
    </w:r>
    <w:r w:rsidRPr="00631F7C">
      <w:t>784.477</w:t>
    </w:r>
    <w:r w:rsidRPr="00631F7C">
      <w:rPr>
        <w:rStyle w:val="HideTWBExt"/>
      </w:rPr>
      <w:t>&lt;/NoPE&gt;&lt;Version&gt;</w:t>
    </w:r>
    <w:r w:rsidRPr="00631F7C">
      <w:t>v02-00</w:t>
    </w:r>
    <w:r w:rsidRPr="00631F7C">
      <w:rPr>
        <w:rStyle w:val="HideTWBExt"/>
      </w:rPr>
      <w:t>&lt;/Version&gt;</w:t>
    </w:r>
    <w:r w:rsidRPr="00631F7C">
      <w:tab/>
    </w:r>
    <w:r w:rsidRPr="00631F7C">
      <w:fldChar w:fldCharType="begin"/>
    </w:r>
    <w:r w:rsidRPr="00631F7C">
      <w:instrText xml:space="preserve"> PAGE  \* MERGEFORMAT </w:instrText>
    </w:r>
    <w:r w:rsidRPr="00631F7C">
      <w:fldChar w:fldCharType="separate"/>
    </w:r>
    <w:r w:rsidRPr="00631F7C">
      <w:rPr>
        <w:noProof/>
      </w:rPr>
      <w:t>2</w:t>
    </w:r>
    <w:r w:rsidRPr="00631F7C">
      <w:fldChar w:fldCharType="end"/>
    </w:r>
    <w:r w:rsidRPr="00631F7C">
      <w:t>/</w:t>
    </w:r>
    <w:fldSimple w:instr=" NUMPAGES  \* MERGEFORMAT ">
      <w:r w:rsidRPr="00631F7C">
        <w:rPr>
          <w:noProof/>
        </w:rPr>
        <w:t>19</w:t>
      </w:r>
    </w:fldSimple>
    <w:r w:rsidRPr="00631F7C">
      <w:tab/>
    </w:r>
    <w:r w:rsidRPr="00631F7C">
      <w:rPr>
        <w:rStyle w:val="HideTWBExt"/>
      </w:rPr>
      <w:t>&lt;PathFdR&gt;</w:t>
    </w:r>
    <w:r w:rsidRPr="00631F7C">
      <w:t>RR\1339712HR.docx</w:t>
    </w:r>
    <w:r w:rsidRPr="00631F7C">
      <w:rPr>
        <w:rStyle w:val="HideTWBExt"/>
      </w:rPr>
      <w:t>&lt;/PathFdR&gt;</w:t>
    </w:r>
  </w:p>
  <w:p w14:paraId="6C8FA255" w14:textId="77777777" w:rsidR="007D1708" w:rsidRPr="00631F7C" w:rsidRDefault="007D1708" w:rsidP="00C36928">
    <w:pPr>
      <w:pStyle w:val="EPFooter2"/>
    </w:pPr>
    <w:r w:rsidRPr="00631F7C"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18BCD" w14:textId="77777777" w:rsidR="007D1708" w:rsidRPr="00631F7C" w:rsidRDefault="007D1708" w:rsidP="00C36928">
    <w:pPr>
      <w:pStyle w:val="EPFooter"/>
    </w:pPr>
    <w:r w:rsidRPr="00631F7C">
      <w:rPr>
        <w:rStyle w:val="HideTWBExt"/>
      </w:rPr>
      <w:t>&lt;PathFdR&gt;</w:t>
    </w:r>
    <w:r w:rsidRPr="00631F7C">
      <w:t>RR\1339712HR.docx</w:t>
    </w:r>
    <w:r w:rsidRPr="00631F7C">
      <w:rPr>
        <w:rStyle w:val="HideTWBExt"/>
      </w:rPr>
      <w:t>&lt;/PathFdR&gt;</w:t>
    </w:r>
    <w:r w:rsidRPr="00631F7C">
      <w:tab/>
    </w:r>
    <w:r w:rsidRPr="00631F7C">
      <w:tab/>
      <w:t>PE</w:t>
    </w:r>
    <w:r w:rsidRPr="00631F7C">
      <w:rPr>
        <w:rStyle w:val="HideTWBExt"/>
      </w:rPr>
      <w:t>&lt;NoPE&gt;</w:t>
    </w:r>
    <w:r w:rsidRPr="00631F7C">
      <w:t>784.477</w:t>
    </w:r>
    <w:r w:rsidRPr="00631F7C">
      <w:rPr>
        <w:rStyle w:val="HideTWBExt"/>
      </w:rPr>
      <w:t>&lt;/NoPE&gt;&lt;Version&gt;</w:t>
    </w:r>
    <w:r w:rsidRPr="00631F7C">
      <w:t>v02-00</w:t>
    </w:r>
    <w:r w:rsidRPr="00631F7C">
      <w:rPr>
        <w:rStyle w:val="HideTWBExt"/>
      </w:rPr>
      <w:t>&lt;/Version&gt;</w:t>
    </w:r>
  </w:p>
  <w:p w14:paraId="046D1E0E" w14:textId="77777777" w:rsidR="007D1708" w:rsidRPr="00631F7C" w:rsidRDefault="007D1708" w:rsidP="00C36928">
    <w:pPr>
      <w:pStyle w:val="EPFooter2"/>
    </w:pPr>
    <w:r w:rsidRPr="00631F7C">
      <w:t>HR</w:t>
    </w:r>
    <w:r w:rsidRPr="00631F7C">
      <w:tab/>
    </w:r>
    <w:r w:rsidRPr="00631F7C">
      <w:rPr>
        <w:b w:val="0"/>
        <w:i/>
        <w:color w:val="C0C0C0"/>
        <w:sz w:val="22"/>
      </w:rPr>
      <w:t>Ujedinjena u raznolikosti</w:t>
    </w:r>
    <w:r w:rsidRPr="00631F7C">
      <w:tab/>
      <w:t>HR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998D5" w14:textId="77777777" w:rsidR="00064002" w:rsidRPr="00631F7C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D658A" w14:textId="77777777" w:rsidR="00064002" w:rsidRPr="00631F7C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4FE6B" w14:textId="77777777" w:rsidR="00064002" w:rsidRPr="00631F7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D4700" w14:textId="77777777" w:rsidR="00D826E8" w:rsidRPr="00631F7C" w:rsidRDefault="00D826E8">
      <w:r w:rsidRPr="00631F7C">
        <w:separator/>
      </w:r>
    </w:p>
  </w:footnote>
  <w:footnote w:type="continuationSeparator" w:id="0">
    <w:p w14:paraId="50DC9CBE" w14:textId="77777777" w:rsidR="00D826E8" w:rsidRPr="00631F7C" w:rsidRDefault="00D826E8">
      <w:r w:rsidRPr="00631F7C">
        <w:continuationSeparator/>
      </w:r>
    </w:p>
  </w:footnote>
  <w:footnote w:id="1">
    <w:p w14:paraId="6A5CDCCB" w14:textId="2666DE8B" w:rsidR="007D1708" w:rsidRPr="00631F7C" w:rsidRDefault="007D1708" w:rsidP="00631F7C">
      <w:pPr>
        <w:pStyle w:val="FootnoteText"/>
        <w:ind w:left="567" w:hanging="567"/>
        <w:rPr>
          <w:sz w:val="24"/>
          <w:lang w:val="hr-HR"/>
        </w:rPr>
      </w:pPr>
      <w:r w:rsidRPr="00631F7C">
        <w:rPr>
          <w:rStyle w:val="FootnoteReference"/>
          <w:sz w:val="24"/>
          <w:lang w:val="hr-HR"/>
        </w:rPr>
        <w:footnoteRef/>
      </w:r>
      <w:r w:rsidR="00631F7C" w:rsidRPr="00631F7C">
        <w:rPr>
          <w:sz w:val="24"/>
          <w:lang w:val="hr-HR"/>
        </w:rPr>
        <w:t xml:space="preserve"> </w:t>
      </w:r>
      <w:r w:rsidR="00631F7C" w:rsidRPr="00631F7C">
        <w:rPr>
          <w:sz w:val="24"/>
          <w:lang w:val="hr-HR"/>
        </w:rPr>
        <w:tab/>
      </w:r>
      <w:r w:rsidRPr="00631F7C">
        <w:rPr>
          <w:sz w:val="24"/>
          <w:lang w:val="hr-HR"/>
        </w:rPr>
        <w:t xml:space="preserve">SL L 153, 3.5.2021., str. 48., ELI: </w:t>
      </w:r>
      <w:hyperlink r:id="rId1" w:history="1">
        <w:r w:rsidRPr="00631F7C">
          <w:rPr>
            <w:rStyle w:val="Hyperlink"/>
            <w:sz w:val="24"/>
            <w:lang w:val="hr-HR"/>
          </w:rPr>
          <w:t>http://data.europa.eu/eli/reg/2021/691/oj</w:t>
        </w:r>
      </w:hyperlink>
      <w:r w:rsidRPr="00631F7C">
        <w:rPr>
          <w:sz w:val="24"/>
          <w:lang w:val="hr-HR"/>
        </w:rPr>
        <w:t>.</w:t>
      </w:r>
    </w:p>
  </w:footnote>
  <w:footnote w:id="2">
    <w:p w14:paraId="078F3D47" w14:textId="306CBD92" w:rsidR="007D1708" w:rsidRPr="00631F7C" w:rsidRDefault="007D1708" w:rsidP="00631F7C">
      <w:pPr>
        <w:pStyle w:val="FootnoteText"/>
        <w:ind w:left="567" w:hanging="567"/>
        <w:rPr>
          <w:sz w:val="24"/>
          <w:lang w:val="hr-HR"/>
        </w:rPr>
      </w:pPr>
      <w:r w:rsidRPr="00631F7C">
        <w:rPr>
          <w:rStyle w:val="FootnoteReference"/>
          <w:sz w:val="24"/>
          <w:lang w:val="hr-HR"/>
        </w:rPr>
        <w:footnoteRef/>
      </w:r>
      <w:r w:rsidR="00631F7C" w:rsidRPr="00631F7C">
        <w:rPr>
          <w:sz w:val="24"/>
          <w:lang w:val="hr-HR"/>
        </w:rPr>
        <w:t xml:space="preserve"> </w:t>
      </w:r>
      <w:r w:rsidR="00631F7C" w:rsidRPr="00631F7C">
        <w:rPr>
          <w:sz w:val="24"/>
          <w:lang w:val="hr-HR"/>
        </w:rPr>
        <w:tab/>
      </w:r>
      <w:r w:rsidRPr="00631F7C">
        <w:rPr>
          <w:sz w:val="24"/>
          <w:lang w:val="hr-HR"/>
        </w:rPr>
        <w:t>SL L 433 I, 22.12.2020., str. </w:t>
      </w:r>
      <w:r w:rsidRPr="00631F7C">
        <w:rPr>
          <w:sz w:val="24"/>
          <w:lang w:val="hr-HR"/>
        </w:rPr>
        <w:t xml:space="preserve">11., ELI: </w:t>
      </w:r>
      <w:hyperlink r:id="rId2" w:history="1">
        <w:r w:rsidRPr="00631F7C">
          <w:rPr>
            <w:rStyle w:val="Hyperlink"/>
            <w:sz w:val="24"/>
            <w:lang w:val="hr-HR"/>
          </w:rPr>
          <w:t>http://data.europa.eu/eli/reg/2020/2093/oj</w:t>
        </w:r>
      </w:hyperlink>
      <w:r w:rsidRPr="00631F7C">
        <w:rPr>
          <w:sz w:val="24"/>
          <w:lang w:val="hr-HR"/>
        </w:rPr>
        <w:t>.</w:t>
      </w:r>
    </w:p>
  </w:footnote>
  <w:footnote w:id="3">
    <w:p w14:paraId="1D2E84FE" w14:textId="6D7CC9FA" w:rsidR="007D1708" w:rsidRPr="00631F7C" w:rsidRDefault="007D1708" w:rsidP="00631F7C">
      <w:pPr>
        <w:pStyle w:val="FootnoteText"/>
        <w:ind w:left="567" w:hanging="567"/>
        <w:rPr>
          <w:sz w:val="24"/>
          <w:lang w:val="hr-HR"/>
        </w:rPr>
      </w:pPr>
      <w:r w:rsidRPr="00631F7C">
        <w:rPr>
          <w:rStyle w:val="FootnoteReference"/>
          <w:sz w:val="24"/>
          <w:lang w:val="hr-HR"/>
        </w:rPr>
        <w:footnoteRef/>
      </w:r>
      <w:r w:rsidR="00631F7C" w:rsidRPr="00631F7C">
        <w:rPr>
          <w:sz w:val="24"/>
          <w:shd w:val="clear" w:color="auto" w:fill="FFFFFF"/>
          <w:lang w:val="hr-HR"/>
        </w:rPr>
        <w:t xml:space="preserve"> </w:t>
      </w:r>
      <w:r w:rsidR="00631F7C" w:rsidRPr="00631F7C">
        <w:rPr>
          <w:sz w:val="24"/>
          <w:shd w:val="clear" w:color="auto" w:fill="FFFFFF"/>
          <w:lang w:val="hr-HR"/>
        </w:rPr>
        <w:tab/>
      </w:r>
      <w:r w:rsidRPr="00631F7C">
        <w:rPr>
          <w:sz w:val="24"/>
          <w:shd w:val="clear" w:color="auto" w:fill="FFFFFF"/>
          <w:lang w:val="hr-HR"/>
        </w:rPr>
        <w:t xml:space="preserve">Uredba Vijeća (EU, Euratom) 2024/765 od 29. veljače 2024. o izmjeni Uredbe (EU, Euratom) 2020/2093 kojom se utvrđuje višegodišnji financijski okvir za razdoblje 2021. – 2027. </w:t>
      </w:r>
      <w:r w:rsidRPr="00631F7C">
        <w:rPr>
          <w:sz w:val="24"/>
          <w:shd w:val="clear" w:color="auto" w:fill="FFFFFF"/>
          <w:lang w:val="hr-HR"/>
        </w:rPr>
        <w:t>(SL L, 2024/765, 29.2.2024., ELI:</w:t>
      </w:r>
      <w:r w:rsidRPr="00631F7C">
        <w:rPr>
          <w:color w:val="333333"/>
          <w:sz w:val="24"/>
          <w:shd w:val="clear" w:color="auto" w:fill="FFFFFF"/>
          <w:lang w:val="hr-HR"/>
        </w:rPr>
        <w:t xml:space="preserve"> </w:t>
      </w:r>
      <w:hyperlink r:id="rId3" w:history="1">
        <w:r w:rsidRPr="00631F7C">
          <w:rPr>
            <w:rStyle w:val="Hyperlink"/>
            <w:sz w:val="24"/>
            <w:shd w:val="clear" w:color="auto" w:fill="FFFFFF"/>
            <w:lang w:val="hr-HR"/>
          </w:rPr>
          <w:t>http://data.europa.eu/eli/reg/2024/765/oj</w:t>
        </w:r>
      </w:hyperlink>
      <w:r w:rsidRPr="004D62BA">
        <w:rPr>
          <w:iCs/>
          <w:color w:val="333333"/>
          <w:sz w:val="24"/>
          <w:shd w:val="clear" w:color="auto" w:fill="FFFFFF"/>
          <w:lang w:val="hr-HR"/>
        </w:rPr>
        <w:t>)</w:t>
      </w:r>
      <w:r w:rsidRPr="00631F7C">
        <w:rPr>
          <w:i/>
          <w:color w:val="333333"/>
          <w:sz w:val="24"/>
          <w:shd w:val="clear" w:color="auto" w:fill="FFFFFF"/>
          <w:lang w:val="hr-HR"/>
        </w:rPr>
        <w:t>.</w:t>
      </w:r>
    </w:p>
  </w:footnote>
  <w:footnote w:id="4">
    <w:p w14:paraId="1CB0C098" w14:textId="080FC812" w:rsidR="007D1708" w:rsidRPr="00631F7C" w:rsidRDefault="007D1708" w:rsidP="00631F7C">
      <w:pPr>
        <w:pStyle w:val="FootnoteText"/>
        <w:ind w:left="567" w:hanging="567"/>
        <w:rPr>
          <w:sz w:val="24"/>
          <w:lang w:val="hr-HR"/>
        </w:rPr>
      </w:pPr>
      <w:r w:rsidRPr="00631F7C">
        <w:rPr>
          <w:rStyle w:val="FootnoteReference"/>
          <w:sz w:val="24"/>
          <w:lang w:val="hr-HR"/>
        </w:rPr>
        <w:footnoteRef/>
      </w:r>
      <w:r w:rsidR="00631F7C" w:rsidRPr="00631F7C">
        <w:rPr>
          <w:sz w:val="24"/>
          <w:lang w:val="hr-HR"/>
        </w:rPr>
        <w:t xml:space="preserve"> </w:t>
      </w:r>
      <w:r w:rsidR="00631F7C" w:rsidRPr="00631F7C">
        <w:rPr>
          <w:sz w:val="24"/>
          <w:lang w:val="hr-HR"/>
        </w:rPr>
        <w:tab/>
      </w:r>
      <w:r w:rsidRPr="00631F7C">
        <w:rPr>
          <w:sz w:val="24"/>
          <w:lang w:val="hr-HR"/>
        </w:rPr>
        <w:t>SL L 433 I, 22.12.2020., str. </w:t>
      </w:r>
      <w:r w:rsidRPr="00631F7C">
        <w:rPr>
          <w:sz w:val="24"/>
          <w:lang w:val="hr-HR"/>
        </w:rPr>
        <w:t xml:space="preserve">28., ELI: </w:t>
      </w:r>
      <w:hyperlink r:id="rId4" w:history="1">
        <w:r w:rsidRPr="00631F7C">
          <w:rPr>
            <w:rStyle w:val="Hyperlink"/>
            <w:sz w:val="24"/>
            <w:lang w:val="hr-HR"/>
          </w:rPr>
          <w:t>http://data.europa.eu/eli/agree_interinstit/2020/1222/oj</w:t>
        </w:r>
      </w:hyperlink>
      <w:r w:rsidRPr="00631F7C">
        <w:rPr>
          <w:sz w:val="24"/>
          <w:lang w:val="hr-HR"/>
        </w:rPr>
        <w:t>.</w:t>
      </w:r>
    </w:p>
  </w:footnote>
  <w:footnote w:id="5">
    <w:p w14:paraId="43D94329" w14:textId="6993BB1E" w:rsidR="007D1708" w:rsidRPr="00631F7C" w:rsidRDefault="007D1708" w:rsidP="00631F7C">
      <w:pPr>
        <w:pStyle w:val="FootnoteText"/>
        <w:ind w:left="567" w:hanging="567"/>
        <w:rPr>
          <w:sz w:val="24"/>
          <w:lang w:val="hr-HR"/>
        </w:rPr>
      </w:pPr>
      <w:r w:rsidRPr="00631F7C">
        <w:rPr>
          <w:rStyle w:val="FootnoteReference"/>
          <w:sz w:val="24"/>
          <w:lang w:val="hr-HR"/>
        </w:rPr>
        <w:footnoteRef/>
      </w:r>
      <w:r w:rsidR="00631F7C" w:rsidRPr="00631F7C">
        <w:rPr>
          <w:sz w:val="24"/>
          <w:lang w:val="hr-HR"/>
        </w:rPr>
        <w:t xml:space="preserve"> </w:t>
      </w:r>
      <w:r w:rsidR="00631F7C" w:rsidRPr="00631F7C">
        <w:rPr>
          <w:sz w:val="24"/>
          <w:lang w:val="hr-HR"/>
        </w:rPr>
        <w:tab/>
      </w:r>
      <w:r w:rsidRPr="00631F7C">
        <w:rPr>
          <w:sz w:val="24"/>
          <w:lang w:val="hr-HR"/>
        </w:rPr>
        <w:t>U smislu članka 3. Uredbe o EGF-u.</w:t>
      </w:r>
    </w:p>
  </w:footnote>
  <w:footnote w:id="6">
    <w:p w14:paraId="00F261BA" w14:textId="01E8A8ED" w:rsidR="007D1708" w:rsidRPr="00631F7C" w:rsidRDefault="007D1708" w:rsidP="00631F7C">
      <w:pPr>
        <w:pStyle w:val="FootnoteText"/>
        <w:ind w:left="567" w:hanging="567"/>
        <w:rPr>
          <w:sz w:val="24"/>
          <w:lang w:val="hr-HR"/>
        </w:rPr>
      </w:pPr>
      <w:r w:rsidRPr="00631F7C">
        <w:rPr>
          <w:rStyle w:val="FootnoteReference"/>
          <w:sz w:val="24"/>
          <w:lang w:val="hr-HR"/>
        </w:rPr>
        <w:footnoteRef/>
      </w:r>
      <w:r w:rsidR="00631F7C" w:rsidRPr="00631F7C">
        <w:rPr>
          <w:sz w:val="24"/>
          <w:lang w:val="hr-HR"/>
        </w:rPr>
        <w:t xml:space="preserve"> </w:t>
      </w:r>
      <w:r w:rsidR="00631F7C" w:rsidRPr="00631F7C">
        <w:rPr>
          <w:sz w:val="24"/>
          <w:lang w:val="hr-HR"/>
        </w:rPr>
        <w:tab/>
      </w:r>
      <w:r w:rsidRPr="00631F7C">
        <w:rPr>
          <w:sz w:val="24"/>
          <w:lang w:val="hr-HR"/>
        </w:rPr>
        <w:t>Članak 8. Uredbe o VFO-u.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4B3B9" w14:textId="77777777" w:rsidR="007D1708" w:rsidRPr="00631F7C" w:rsidRDefault="007D1708">
    <w:pPr>
      <w:pStyle w:val="Header"/>
    </w:pPr>
  </w:p>
  <w:p w14:paraId="211F71E3" w14:textId="77777777" w:rsidR="007D1708" w:rsidRPr="00631F7C" w:rsidRDefault="007D1708"/>
  <w:p w14:paraId="4E60D559" w14:textId="77777777" w:rsidR="007D1708" w:rsidRPr="00631F7C" w:rsidRDefault="007D170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0B127" w14:textId="77777777" w:rsidR="007D1708" w:rsidRPr="00631F7C" w:rsidRDefault="007D1708">
    <w:pPr>
      <w:pStyle w:val="Header"/>
    </w:pPr>
  </w:p>
  <w:p w14:paraId="68D8F8B6" w14:textId="77777777" w:rsidR="007D1708" w:rsidRPr="00631F7C" w:rsidRDefault="007D1708"/>
  <w:p w14:paraId="66CA4C42" w14:textId="77777777" w:rsidR="007D1708" w:rsidRPr="00631F7C" w:rsidRDefault="007D170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67381" w14:textId="77777777" w:rsidR="00064002" w:rsidRPr="00631F7C" w:rsidRDefault="0006400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5475A" w14:textId="77777777" w:rsidR="00064002" w:rsidRPr="00631F7C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FA5A3" w14:textId="77777777" w:rsidR="00064002" w:rsidRPr="00631F7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47870628">
    <w:abstractNumId w:val="9"/>
  </w:num>
  <w:num w:numId="2" w16cid:durableId="75787404">
    <w:abstractNumId w:val="9"/>
  </w:num>
  <w:num w:numId="3" w16cid:durableId="184484534">
    <w:abstractNumId w:val="7"/>
  </w:num>
  <w:num w:numId="4" w16cid:durableId="563756616">
    <w:abstractNumId w:val="7"/>
  </w:num>
  <w:num w:numId="5" w16cid:durableId="1594587389">
    <w:abstractNumId w:val="6"/>
  </w:num>
  <w:num w:numId="6" w16cid:durableId="2062826746">
    <w:abstractNumId w:val="6"/>
  </w:num>
  <w:num w:numId="7" w16cid:durableId="276763300">
    <w:abstractNumId w:val="5"/>
  </w:num>
  <w:num w:numId="8" w16cid:durableId="1293904433">
    <w:abstractNumId w:val="5"/>
  </w:num>
  <w:num w:numId="9" w16cid:durableId="47605826">
    <w:abstractNumId w:val="4"/>
  </w:num>
  <w:num w:numId="10" w16cid:durableId="654378499">
    <w:abstractNumId w:val="4"/>
  </w:num>
  <w:num w:numId="11" w16cid:durableId="1692998138">
    <w:abstractNumId w:val="8"/>
  </w:num>
  <w:num w:numId="12" w16cid:durableId="1682201785">
    <w:abstractNumId w:val="8"/>
  </w:num>
  <w:num w:numId="13" w16cid:durableId="2061711570">
    <w:abstractNumId w:val="3"/>
  </w:num>
  <w:num w:numId="14" w16cid:durableId="466777355">
    <w:abstractNumId w:val="3"/>
  </w:num>
  <w:num w:numId="15" w16cid:durableId="1886986542">
    <w:abstractNumId w:val="2"/>
  </w:num>
  <w:num w:numId="16" w16cid:durableId="1890678197">
    <w:abstractNumId w:val="2"/>
  </w:num>
  <w:num w:numId="17" w16cid:durableId="2082100569">
    <w:abstractNumId w:val="1"/>
  </w:num>
  <w:num w:numId="18" w16cid:durableId="828787982">
    <w:abstractNumId w:val="1"/>
  </w:num>
  <w:num w:numId="19" w16cid:durableId="266079464">
    <w:abstractNumId w:val="0"/>
  </w:num>
  <w:num w:numId="20" w16cid:durableId="1249845148">
    <w:abstractNumId w:val="0"/>
  </w:num>
  <w:num w:numId="21" w16cid:durableId="2144273395">
    <w:abstractNumId w:val="9"/>
  </w:num>
  <w:num w:numId="22" w16cid:durableId="1003170090">
    <w:abstractNumId w:val="7"/>
  </w:num>
  <w:num w:numId="23" w16cid:durableId="2019426577">
    <w:abstractNumId w:val="6"/>
  </w:num>
  <w:num w:numId="24" w16cid:durableId="260841229">
    <w:abstractNumId w:val="5"/>
  </w:num>
  <w:num w:numId="25" w16cid:durableId="899024057">
    <w:abstractNumId w:val="4"/>
  </w:num>
  <w:num w:numId="26" w16cid:durableId="1013461404">
    <w:abstractNumId w:val="8"/>
  </w:num>
  <w:num w:numId="27" w16cid:durableId="1003512397">
    <w:abstractNumId w:val="3"/>
  </w:num>
  <w:num w:numId="28" w16cid:durableId="358699675">
    <w:abstractNumId w:val="2"/>
  </w:num>
  <w:num w:numId="29" w16cid:durableId="438063832">
    <w:abstractNumId w:val="1"/>
  </w:num>
  <w:num w:numId="30" w16cid:durableId="638193778">
    <w:abstractNumId w:val="0"/>
  </w:num>
  <w:num w:numId="31" w16cid:durableId="1083061764">
    <w:abstractNumId w:val="9"/>
  </w:num>
  <w:num w:numId="32" w16cid:durableId="624239927">
    <w:abstractNumId w:val="7"/>
  </w:num>
  <w:num w:numId="33" w16cid:durableId="330260794">
    <w:abstractNumId w:val="6"/>
  </w:num>
  <w:num w:numId="34" w16cid:durableId="1811440072">
    <w:abstractNumId w:val="5"/>
  </w:num>
  <w:num w:numId="35" w16cid:durableId="868449132">
    <w:abstractNumId w:val="4"/>
  </w:num>
  <w:num w:numId="36" w16cid:durableId="96025226">
    <w:abstractNumId w:val="8"/>
  </w:num>
  <w:num w:numId="37" w16cid:durableId="455148685">
    <w:abstractNumId w:val="3"/>
  </w:num>
  <w:num w:numId="38" w16cid:durableId="2146190456">
    <w:abstractNumId w:val="2"/>
  </w:num>
  <w:num w:numId="39" w16cid:durableId="220600088">
    <w:abstractNumId w:val="1"/>
  </w:num>
  <w:num w:numId="40" w16cid:durableId="166990591">
    <w:abstractNumId w:val="0"/>
  </w:num>
  <w:num w:numId="41" w16cid:durableId="817763111">
    <w:abstractNumId w:val="10"/>
  </w:num>
  <w:num w:numId="42" w16cid:durableId="338310068">
    <w:abstractNumId w:val="10"/>
  </w:num>
  <w:num w:numId="43" w16cid:durableId="981034256">
    <w:abstractNumId w:val="10"/>
  </w:num>
  <w:num w:numId="44" w16cid:durableId="87774338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1/2026"/>
    <w:docVar w:name="dvlangue" w:val="HR"/>
    <w:docVar w:name="dvnumam" w:val="0"/>
    <w:docVar w:name="dvpe" w:val="784.477"/>
    <w:docVar w:name="dvrapporteur" w:val="Izvjestitelj: "/>
    <w:docVar w:name="dvtitre" w:val="Rezolucija Europskog parlamenta od .... 2026. o Prijedlogu odluke Europskog parlamenta i Vijeća o mobilizaciji Europskog fonda za prilagodbu globalizaciji za radnike koji su proglašeni viškom na temelju zahtjeva Belgije – EGF/2025/007 BE/Casa(COM(2026)0003 – C10-0025/2026 – 2026/0038(BUD))"/>
  </w:docVars>
  <w:rsids>
    <w:rsidRoot w:val="00D826E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52EA"/>
    <w:rsid w:val="001E5CB5"/>
    <w:rsid w:val="001F32AE"/>
    <w:rsid w:val="002767FF"/>
    <w:rsid w:val="002B18FE"/>
    <w:rsid w:val="002B5493"/>
    <w:rsid w:val="00343214"/>
    <w:rsid w:val="00361C00"/>
    <w:rsid w:val="00395FA1"/>
    <w:rsid w:val="00396619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62BA"/>
    <w:rsid w:val="0050519A"/>
    <w:rsid w:val="005072A1"/>
    <w:rsid w:val="00514517"/>
    <w:rsid w:val="00545827"/>
    <w:rsid w:val="00560270"/>
    <w:rsid w:val="005B25E1"/>
    <w:rsid w:val="005C2568"/>
    <w:rsid w:val="005F1B17"/>
    <w:rsid w:val="006037C0"/>
    <w:rsid w:val="00631F7C"/>
    <w:rsid w:val="006631B6"/>
    <w:rsid w:val="00680577"/>
    <w:rsid w:val="006F74FA"/>
    <w:rsid w:val="007213CF"/>
    <w:rsid w:val="00731ADD"/>
    <w:rsid w:val="00734777"/>
    <w:rsid w:val="00747932"/>
    <w:rsid w:val="00751A4A"/>
    <w:rsid w:val="00756632"/>
    <w:rsid w:val="00762C74"/>
    <w:rsid w:val="00786EC0"/>
    <w:rsid w:val="007D1690"/>
    <w:rsid w:val="007D1708"/>
    <w:rsid w:val="007E22AD"/>
    <w:rsid w:val="00817416"/>
    <w:rsid w:val="00842779"/>
    <w:rsid w:val="00865F67"/>
    <w:rsid w:val="00881A7B"/>
    <w:rsid w:val="008840E5"/>
    <w:rsid w:val="008869AA"/>
    <w:rsid w:val="00887B3E"/>
    <w:rsid w:val="008C2AC6"/>
    <w:rsid w:val="008D6884"/>
    <w:rsid w:val="00930C23"/>
    <w:rsid w:val="0093193B"/>
    <w:rsid w:val="00931AA9"/>
    <w:rsid w:val="009509D8"/>
    <w:rsid w:val="00950B64"/>
    <w:rsid w:val="00981893"/>
    <w:rsid w:val="00A1687D"/>
    <w:rsid w:val="00A43E52"/>
    <w:rsid w:val="00A4678D"/>
    <w:rsid w:val="00A5220A"/>
    <w:rsid w:val="00A778C7"/>
    <w:rsid w:val="00AB441E"/>
    <w:rsid w:val="00AB6293"/>
    <w:rsid w:val="00AB7B4F"/>
    <w:rsid w:val="00AE0928"/>
    <w:rsid w:val="00AF3B82"/>
    <w:rsid w:val="00B12E95"/>
    <w:rsid w:val="00B22876"/>
    <w:rsid w:val="00B47446"/>
    <w:rsid w:val="00B558F0"/>
    <w:rsid w:val="00BD48FE"/>
    <w:rsid w:val="00BD7BD8"/>
    <w:rsid w:val="00BE398E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1093"/>
    <w:rsid w:val="00D826E8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5FC4"/>
    <w:rsid w:val="00F04346"/>
    <w:rsid w:val="00F075DC"/>
    <w:rsid w:val="00F149E9"/>
    <w:rsid w:val="00F5134D"/>
    <w:rsid w:val="00F74202"/>
    <w:rsid w:val="00F87713"/>
    <w:rsid w:val="00FB4360"/>
    <w:rsid w:val="00FD0C70"/>
    <w:rsid w:val="00FF1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3936E9"/>
  <w15:chartTrackingRefBased/>
  <w15:docId w15:val="{85FC409D-8E01-4777-A7F3-7456BC96A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16 Point,Superscript 6 Point,Footnote Reference Number,Footnote Reference_LVL6,Footnote Reference_LVL61,Footnote Reference_LVL62,Footnote Reference_LVL63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D170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7D170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7D1708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7D170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D1708"/>
    <w:rPr>
      <w:sz w:val="24"/>
      <w:lang w:val="hr-HR"/>
    </w:rPr>
  </w:style>
  <w:style w:type="paragraph" w:customStyle="1" w:styleId="EPFooter">
    <w:name w:val="EPFooter"/>
    <w:basedOn w:val="Normal"/>
    <w:rsid w:val="007D170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D1708"/>
    <w:pPr>
      <w:spacing w:before="480" w:after="240"/>
    </w:pPr>
  </w:style>
  <w:style w:type="character" w:styleId="Hyperlink">
    <w:name w:val="Hyperlink"/>
    <w:basedOn w:val="DefaultParagraphFont"/>
    <w:uiPriority w:val="99"/>
    <w:rsid w:val="007D1708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7D1708"/>
    <w:rPr>
      <w:sz w:val="24"/>
      <w:lang w:val="hr-HR"/>
    </w:rPr>
  </w:style>
  <w:style w:type="character" w:customStyle="1" w:styleId="PageHeadingChar">
    <w:name w:val="PageHeading Char"/>
    <w:basedOn w:val="DefaultParagraphFont"/>
    <w:link w:val="PageHeading"/>
    <w:locked/>
    <w:rsid w:val="007D1708"/>
    <w:rPr>
      <w:rFonts w:ascii="Arial" w:hAnsi="Arial" w:cs="Arial"/>
      <w:b/>
      <w:sz w:val="24"/>
      <w:lang w:val="hr-HR"/>
    </w:rPr>
  </w:style>
  <w:style w:type="paragraph" w:customStyle="1" w:styleId="Titreobjet">
    <w:name w:val="Titre objet"/>
    <w:basedOn w:val="Normal"/>
    <w:next w:val="Normal"/>
    <w:rsid w:val="007D1708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7D1708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7D1708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7D1708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7D1708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7D1708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7D1708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7D1708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character" w:styleId="FollowedHyperlink">
    <w:name w:val="FollowedHyperlink"/>
    <w:basedOn w:val="DefaultParagraphFont"/>
    <w:rsid w:val="001E5CB5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B47446"/>
    <w:rPr>
      <w:sz w:val="24"/>
      <w:lang w:val="hr-HR"/>
    </w:rPr>
  </w:style>
  <w:style w:type="paragraph" w:styleId="Footer">
    <w:name w:val="footer"/>
    <w:basedOn w:val="Normal"/>
    <w:link w:val="FooterChar"/>
    <w:rsid w:val="004D62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D62BA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765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21/691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1574</Words>
  <Characters>9547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2026-05-19T15:21:00Z</dcterms:created>
  <dcterms:modified xsi:type="dcterms:W3CDTF">2026-05-19T15:21:00Z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P10_TA(2026)0102_</vt:lpwstr>
  </property>
  <property fmtid="{D5CDD505-2E9C-101B-9397-08002B2CF9AE}" pid="4" name="&lt;Type&gt;">
    <vt:lpwstr>RR</vt:lpwstr>
  </property>
</Properties>
</file>