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2ADA" w14:paraId="15FE8D81" w14:textId="77777777" w:rsidTr="0010095E">
        <w:trPr>
          <w:trHeight w:hRule="exact" w:val="1418"/>
        </w:trPr>
        <w:tc>
          <w:tcPr>
            <w:tcW w:w="6804" w:type="dxa"/>
            <w:shd w:val="clear" w:color="auto" w:fill="auto"/>
            <w:vAlign w:val="center"/>
          </w:tcPr>
          <w:p w14:paraId="06F70776" w14:textId="77777777" w:rsidR="00751A4A" w:rsidRPr="00B62ADA" w:rsidRDefault="00836BD9" w:rsidP="0010095E">
            <w:pPr>
              <w:pStyle w:val="EPName"/>
            </w:pPr>
            <w:r w:rsidRPr="00B62ADA">
              <w:t>Europos Parlamentas</w:t>
            </w:r>
          </w:p>
          <w:p w14:paraId="4DE5F117" w14:textId="577A04E1" w:rsidR="00751A4A" w:rsidRPr="00B62ADA" w:rsidRDefault="00B37AD7" w:rsidP="005F1B17">
            <w:pPr>
              <w:pStyle w:val="EPTerm"/>
              <w:rPr>
                <w:rStyle w:val="HideTWBExt"/>
                <w:noProof w:val="0"/>
                <w:vanish w:val="0"/>
                <w:color w:val="auto"/>
              </w:rPr>
            </w:pPr>
            <w:r w:rsidRPr="00B37AD7">
              <w:t>2024</w:t>
            </w:r>
            <w:r w:rsidR="00817416" w:rsidRPr="00B62ADA">
              <w:t>-</w:t>
            </w:r>
            <w:r w:rsidRPr="00B37AD7">
              <w:t>2029</w:t>
            </w:r>
          </w:p>
        </w:tc>
        <w:tc>
          <w:tcPr>
            <w:tcW w:w="2268" w:type="dxa"/>
            <w:shd w:val="clear" w:color="auto" w:fill="auto"/>
          </w:tcPr>
          <w:p w14:paraId="095ED42E" w14:textId="77777777" w:rsidR="00751A4A" w:rsidRPr="00B62ADA" w:rsidRDefault="00187494" w:rsidP="0010095E">
            <w:pPr>
              <w:pStyle w:val="EPLogo"/>
            </w:pPr>
            <w:r w:rsidRPr="00B62ADA">
              <w:rPr>
                <w:noProof/>
                <w:lang w:eastAsia="ja-JP"/>
              </w:rPr>
              <w:drawing>
                <wp:inline distT="0" distB="0" distL="0" distR="0" wp14:anchorId="459F9175" wp14:editId="159C11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874875" w14:textId="77777777" w:rsidR="00D058B8" w:rsidRPr="00B62ADA" w:rsidRDefault="00D058B8" w:rsidP="004C5D52">
      <w:pPr>
        <w:pStyle w:val="LineTop"/>
      </w:pPr>
    </w:p>
    <w:p w14:paraId="1DF38BFE" w14:textId="77777777" w:rsidR="00680577" w:rsidRPr="00B62ADA" w:rsidRDefault="00836BD9" w:rsidP="00680577">
      <w:pPr>
        <w:pStyle w:val="EPBodyTA1"/>
      </w:pPr>
      <w:r w:rsidRPr="00B62ADA">
        <w:t>PRIIMTI TEKSTAI</w:t>
      </w:r>
    </w:p>
    <w:p w14:paraId="234E60CC" w14:textId="77777777" w:rsidR="00D058B8" w:rsidRPr="00B62ADA" w:rsidRDefault="00D058B8" w:rsidP="00D058B8">
      <w:pPr>
        <w:pStyle w:val="LineBottom"/>
      </w:pPr>
    </w:p>
    <w:p w14:paraId="10E43D91" w14:textId="3195A126" w:rsidR="00836BD9" w:rsidRPr="00B62ADA" w:rsidRDefault="00836BD9" w:rsidP="00836BD9">
      <w:pPr>
        <w:pStyle w:val="ATHeading1"/>
      </w:pPr>
      <w:bookmarkStart w:id="0" w:name="TANumber"/>
      <w:r w:rsidRPr="00B62ADA">
        <w:t>P</w:t>
      </w:r>
      <w:r w:rsidR="00B37AD7" w:rsidRPr="00B37AD7">
        <w:t>10</w:t>
      </w:r>
      <w:r w:rsidRPr="00B62ADA">
        <w:t>_TA(</w:t>
      </w:r>
      <w:r w:rsidR="00B37AD7" w:rsidRPr="00B37AD7">
        <w:t>2026</w:t>
      </w:r>
      <w:r w:rsidRPr="00B62ADA">
        <w:t>)</w:t>
      </w:r>
      <w:r w:rsidR="00B37AD7" w:rsidRPr="00B37AD7">
        <w:t>0</w:t>
      </w:r>
      <w:r w:rsidR="005E5A96">
        <w:t>1</w:t>
      </w:r>
      <w:r w:rsidR="00B37AD7" w:rsidRPr="00B37AD7">
        <w:t>0</w:t>
      </w:r>
      <w:bookmarkEnd w:id="0"/>
      <w:r w:rsidR="005E5A96">
        <w:t>2</w:t>
      </w:r>
    </w:p>
    <w:p w14:paraId="59A42AA9" w14:textId="765609AF" w:rsidR="00836BD9" w:rsidRPr="00B62ADA" w:rsidRDefault="00836BD9" w:rsidP="00836BD9">
      <w:pPr>
        <w:pStyle w:val="ATHeading2"/>
      </w:pPr>
      <w:bookmarkStart w:id="1" w:name="title"/>
      <w:r w:rsidRPr="00B62ADA">
        <w:t>Europos prisitaikymo prie globalizacijos padarinių fondo atleistiems darbuotojams lėšų mobilizavimas:</w:t>
      </w:r>
      <w:r w:rsidR="00265480">
        <w:t xml:space="preserve"> </w:t>
      </w:r>
      <w:r w:rsidRPr="00B62ADA">
        <w:t>Belgijos paraiška EGF/</w:t>
      </w:r>
      <w:r w:rsidR="00B37AD7" w:rsidRPr="00B37AD7">
        <w:t>2025</w:t>
      </w:r>
      <w:r w:rsidRPr="00B62ADA">
        <w:t>/</w:t>
      </w:r>
      <w:r w:rsidR="00B37AD7" w:rsidRPr="00B37AD7">
        <w:t>007</w:t>
      </w:r>
      <w:r w:rsidRPr="00B62ADA">
        <w:t xml:space="preserve"> BE/</w:t>
      </w:r>
      <w:proofErr w:type="spellStart"/>
      <w:r w:rsidRPr="00B62ADA">
        <w:t>Casa</w:t>
      </w:r>
      <w:bookmarkEnd w:id="1"/>
      <w:proofErr w:type="spellEnd"/>
    </w:p>
    <w:p w14:paraId="0A05686B" w14:textId="6FE9BF3B" w:rsidR="00836BD9" w:rsidRPr="00B62ADA" w:rsidRDefault="00836BD9" w:rsidP="00836BD9">
      <w:pPr>
        <w:rPr>
          <w:i/>
          <w:vanish/>
        </w:rPr>
      </w:pPr>
      <w:r w:rsidRPr="00B62ADA">
        <w:rPr>
          <w:i/>
        </w:rPr>
        <w:fldChar w:fldCharType="begin"/>
      </w:r>
      <w:r w:rsidRPr="00B62ADA">
        <w:rPr>
          <w:i/>
        </w:rPr>
        <w:instrText xml:space="preserve"> TC"(</w:instrText>
      </w:r>
      <w:bookmarkStart w:id="2" w:name="DocNumber"/>
      <w:r w:rsidRPr="00B62ADA">
        <w:rPr>
          <w:i/>
        </w:rPr>
        <w:instrText>A</w:instrText>
      </w:r>
      <w:r w:rsidR="00B37AD7" w:rsidRPr="00B37AD7">
        <w:rPr>
          <w:i/>
        </w:rPr>
        <w:instrText>10</w:instrText>
      </w:r>
      <w:r w:rsidRPr="00B62ADA">
        <w:rPr>
          <w:i/>
        </w:rPr>
        <w:instrText>-</w:instrText>
      </w:r>
      <w:r w:rsidR="00B37AD7" w:rsidRPr="00B37AD7">
        <w:rPr>
          <w:i/>
        </w:rPr>
        <w:instrText>0061</w:instrText>
      </w:r>
      <w:r w:rsidRPr="00B62ADA">
        <w:rPr>
          <w:i/>
        </w:rPr>
        <w:instrText>/</w:instrText>
      </w:r>
      <w:r w:rsidR="00B37AD7" w:rsidRPr="00B37AD7">
        <w:rPr>
          <w:i/>
        </w:rPr>
        <w:instrText>20</w:instrText>
      </w:r>
      <w:bookmarkEnd w:id="2"/>
      <w:r w:rsidR="00B37AD7" w:rsidRPr="00B37AD7">
        <w:rPr>
          <w:i/>
        </w:rPr>
        <w:instrText>26</w:instrText>
      </w:r>
      <w:r w:rsidRPr="00B62ADA">
        <w:rPr>
          <w:i/>
        </w:rPr>
        <w:instrText xml:space="preserve"> - Pranešėjas: Hélder Sousa Silva)"\l</w:instrText>
      </w:r>
      <w:r w:rsidR="00B37AD7" w:rsidRPr="00B37AD7">
        <w:rPr>
          <w:i/>
        </w:rPr>
        <w:instrText>3</w:instrText>
      </w:r>
      <w:r w:rsidRPr="00B62ADA">
        <w:rPr>
          <w:i/>
        </w:rPr>
        <w:instrText xml:space="preserve"> \n&gt; \* MERGEFORMAT </w:instrText>
      </w:r>
      <w:r w:rsidRPr="00B62ADA">
        <w:rPr>
          <w:i/>
        </w:rPr>
        <w:fldChar w:fldCharType="end"/>
      </w:r>
    </w:p>
    <w:p w14:paraId="0C838E3E" w14:textId="77777777" w:rsidR="00836BD9" w:rsidRPr="00B62ADA" w:rsidRDefault="00836BD9" w:rsidP="00836BD9">
      <w:pPr>
        <w:rPr>
          <w:vanish/>
        </w:rPr>
      </w:pPr>
      <w:bookmarkStart w:id="3" w:name="Commission"/>
      <w:r w:rsidRPr="00B62ADA">
        <w:rPr>
          <w:vanish/>
        </w:rPr>
        <w:t>Biudžeto komitetas</w:t>
      </w:r>
      <w:bookmarkEnd w:id="3"/>
    </w:p>
    <w:p w14:paraId="2DF48AEF" w14:textId="39545C5E" w:rsidR="00836BD9" w:rsidRPr="00B62ADA" w:rsidRDefault="00836BD9" w:rsidP="00836BD9">
      <w:pPr>
        <w:rPr>
          <w:vanish/>
        </w:rPr>
      </w:pPr>
      <w:bookmarkStart w:id="4" w:name="PE"/>
      <w:r w:rsidRPr="00B62ADA">
        <w:rPr>
          <w:vanish/>
        </w:rPr>
        <w:t>PE</w:t>
      </w:r>
      <w:r w:rsidR="00B37AD7" w:rsidRPr="00B37AD7">
        <w:rPr>
          <w:vanish/>
        </w:rPr>
        <w:t>784</w:t>
      </w:r>
      <w:r w:rsidRPr="00B62ADA">
        <w:rPr>
          <w:vanish/>
        </w:rPr>
        <w:t>.</w:t>
      </w:r>
      <w:r w:rsidR="00B37AD7" w:rsidRPr="00B37AD7">
        <w:rPr>
          <w:vanish/>
        </w:rPr>
        <w:t>4</w:t>
      </w:r>
      <w:bookmarkEnd w:id="4"/>
      <w:r w:rsidR="00B37AD7" w:rsidRPr="00B37AD7">
        <w:rPr>
          <w:vanish/>
        </w:rPr>
        <w:t>77</w:t>
      </w:r>
    </w:p>
    <w:p w14:paraId="1982C553" w14:textId="2C1AA743" w:rsidR="00836BD9" w:rsidRPr="00B62ADA" w:rsidRDefault="00B37AD7" w:rsidP="00836BD9">
      <w:pPr>
        <w:pStyle w:val="ATHeading3"/>
      </w:pPr>
      <w:bookmarkStart w:id="5" w:name="Sujet"/>
      <w:r w:rsidRPr="00B37AD7">
        <w:t>2026</w:t>
      </w:r>
      <w:r w:rsidR="00836BD9" w:rsidRPr="00B62ADA">
        <w:t xml:space="preserve"> m. kovo </w:t>
      </w:r>
      <w:r w:rsidRPr="00B37AD7">
        <w:t>26</w:t>
      </w:r>
      <w:r w:rsidR="00836BD9" w:rsidRPr="00B62ADA">
        <w:t xml:space="preserve"> d. Europos Parlamento rezoliucija dėl pasiūlymo dėl Europos Parlamento ir Tarybos sprendimo dėl Europos prisitaikymo prie globalizacijos padarinių fondo atleistiems darbuotojams lėšų mobilizavimo pagal Belgijos paraišką „EGF/</w:t>
      </w:r>
      <w:r w:rsidRPr="00B37AD7">
        <w:t>2025</w:t>
      </w:r>
      <w:r w:rsidR="00836BD9" w:rsidRPr="00B62ADA">
        <w:t>/</w:t>
      </w:r>
      <w:r w:rsidRPr="00B37AD7">
        <w:t>007</w:t>
      </w:r>
      <w:r w:rsidR="00836BD9" w:rsidRPr="00B62ADA">
        <w:t> BE/</w:t>
      </w:r>
      <w:proofErr w:type="spellStart"/>
      <w:r w:rsidR="00836BD9" w:rsidRPr="00B62ADA">
        <w:t>Casa</w:t>
      </w:r>
      <w:proofErr w:type="spellEnd"/>
      <w:r w:rsidR="00836BD9" w:rsidRPr="00B62ADA">
        <w:t>“</w:t>
      </w:r>
      <w:bookmarkEnd w:id="5"/>
      <w:r w:rsidR="00836BD9" w:rsidRPr="00B62ADA">
        <w:t xml:space="preserve"> </w:t>
      </w:r>
      <w:bookmarkStart w:id="6" w:name="References"/>
      <w:r w:rsidR="00836BD9" w:rsidRPr="00B62ADA">
        <w:t>(COM(</w:t>
      </w:r>
      <w:r w:rsidRPr="00B37AD7">
        <w:t>2026</w:t>
      </w:r>
      <w:r w:rsidR="00836BD9" w:rsidRPr="00B62ADA">
        <w:t>)</w:t>
      </w:r>
      <w:r w:rsidRPr="00B37AD7">
        <w:t>0003</w:t>
      </w:r>
      <w:r w:rsidR="00836BD9" w:rsidRPr="00B62ADA">
        <w:t xml:space="preserve"> – C</w:t>
      </w:r>
      <w:r w:rsidRPr="00B37AD7">
        <w:t>10</w:t>
      </w:r>
      <w:r w:rsidR="00836BD9" w:rsidRPr="00B62ADA">
        <w:t>-</w:t>
      </w:r>
      <w:r w:rsidRPr="00B37AD7">
        <w:t>0025</w:t>
      </w:r>
      <w:r w:rsidR="00836BD9" w:rsidRPr="00B62ADA">
        <w:t>/</w:t>
      </w:r>
      <w:r w:rsidRPr="00B37AD7">
        <w:t>2026</w:t>
      </w:r>
      <w:r w:rsidR="00836BD9" w:rsidRPr="00B62ADA">
        <w:t xml:space="preserve"> – </w:t>
      </w:r>
      <w:r w:rsidRPr="00B37AD7">
        <w:t>2026</w:t>
      </w:r>
      <w:r w:rsidR="00836BD9" w:rsidRPr="00B62ADA">
        <w:t>/</w:t>
      </w:r>
      <w:r w:rsidRPr="00B37AD7">
        <w:t>0038</w:t>
      </w:r>
      <w:r w:rsidR="00836BD9" w:rsidRPr="00B62ADA">
        <w:t>(BUD))</w:t>
      </w:r>
      <w:bookmarkEnd w:id="6"/>
    </w:p>
    <w:p w14:paraId="223CADDF" w14:textId="77777777" w:rsidR="00112FBE" w:rsidRPr="00B62ADA" w:rsidRDefault="00112FBE" w:rsidP="00112FBE">
      <w:pPr>
        <w:pStyle w:val="EPComma"/>
        <w:rPr>
          <w:noProof/>
        </w:rPr>
      </w:pPr>
      <w:r w:rsidRPr="00B62ADA">
        <w:rPr>
          <w:i/>
        </w:rPr>
        <w:t>Europos Parlamentas</w:t>
      </w:r>
      <w:r w:rsidRPr="00B62ADA">
        <w:t>,</w:t>
      </w:r>
    </w:p>
    <w:p w14:paraId="0CE6FB63" w14:textId="7797553A" w:rsidR="00112FBE" w:rsidRPr="00B62ADA" w:rsidRDefault="00112FBE" w:rsidP="00112FBE">
      <w:pPr>
        <w:pStyle w:val="NormalHanging12a"/>
        <w:rPr>
          <w:noProof/>
        </w:rPr>
      </w:pPr>
      <w:r w:rsidRPr="00B62ADA">
        <w:t>–</w:t>
      </w:r>
      <w:r w:rsidRPr="00B62ADA">
        <w:tab/>
        <w:t>atsižvelgdamas į Komisijos pasiūlymą Europos Parlamentui ir Tarybai (COM(</w:t>
      </w:r>
      <w:r w:rsidR="00B37AD7" w:rsidRPr="00B37AD7">
        <w:t>2026</w:t>
      </w:r>
      <w:r w:rsidRPr="00B62ADA">
        <w:t>)</w:t>
      </w:r>
      <w:r w:rsidR="00B37AD7" w:rsidRPr="00B37AD7">
        <w:t>0003</w:t>
      </w:r>
      <w:r w:rsidRPr="00B62ADA">
        <w:t xml:space="preserve"> – C</w:t>
      </w:r>
      <w:r w:rsidR="00B37AD7" w:rsidRPr="00B37AD7">
        <w:t>10</w:t>
      </w:r>
      <w:r w:rsidRPr="00B62ADA">
        <w:t>-</w:t>
      </w:r>
      <w:r w:rsidR="00B37AD7" w:rsidRPr="00B37AD7">
        <w:t>0025</w:t>
      </w:r>
      <w:r w:rsidRPr="00B62ADA">
        <w:t>/</w:t>
      </w:r>
      <w:r w:rsidR="00B37AD7" w:rsidRPr="00B37AD7">
        <w:t>2026</w:t>
      </w:r>
      <w:r w:rsidRPr="00B62ADA">
        <w:t>),</w:t>
      </w:r>
    </w:p>
    <w:p w14:paraId="1446C15C" w14:textId="5728419C" w:rsidR="00112FBE" w:rsidRPr="00B62ADA" w:rsidRDefault="00112FBE" w:rsidP="00112FBE">
      <w:pPr>
        <w:pStyle w:val="NormalHanging12a"/>
      </w:pPr>
      <w:r w:rsidRPr="00B62ADA">
        <w:t>–</w:t>
      </w:r>
      <w:r w:rsidRPr="00B62ADA">
        <w:tab/>
        <w:t xml:space="preserve">atsižvelgdamas į </w:t>
      </w:r>
      <w:r w:rsidR="00B37AD7" w:rsidRPr="00B37AD7">
        <w:t>2021</w:t>
      </w:r>
      <w:r w:rsidRPr="00B62ADA">
        <w:t xml:space="preserve"> m. balandžio </w:t>
      </w:r>
      <w:r w:rsidR="00B37AD7" w:rsidRPr="00B37AD7">
        <w:t>28</w:t>
      </w:r>
      <w:r w:rsidRPr="00B62ADA">
        <w:t> d. Europos Parlamento ir Tarybos reglamentą (ES) </w:t>
      </w:r>
      <w:r w:rsidR="00B37AD7" w:rsidRPr="00B37AD7">
        <w:t>2021</w:t>
      </w:r>
      <w:r w:rsidRPr="00B62ADA">
        <w:t>/</w:t>
      </w:r>
      <w:r w:rsidR="00B37AD7" w:rsidRPr="00B37AD7">
        <w:t>691</w:t>
      </w:r>
      <w:r w:rsidRPr="00B62ADA">
        <w:t xml:space="preserve"> dėl Europos prisitaikymo prie globalizacijos padarinių fondo atleistiems darbuotojams (EGF), kuriuo panaikinamas Reglamentas (ES) Nr. </w:t>
      </w:r>
      <w:r w:rsidR="00B37AD7" w:rsidRPr="00B37AD7">
        <w:t>1309</w:t>
      </w:r>
      <w:r w:rsidRPr="00B62ADA">
        <w:t>/</w:t>
      </w:r>
      <w:r w:rsidR="00B37AD7" w:rsidRPr="00B37AD7">
        <w:t>2013</w:t>
      </w:r>
      <w:r w:rsidRPr="00B62ADA">
        <w:rPr>
          <w:vertAlign w:val="superscript"/>
        </w:rPr>
        <w:footnoteReference w:id="1"/>
      </w:r>
      <w:r w:rsidRPr="00B62ADA">
        <w:t xml:space="preserve"> (toliau – EGF reglamentas), </w:t>
      </w:r>
    </w:p>
    <w:p w14:paraId="7974A954" w14:textId="24AB3E95" w:rsidR="00112FBE" w:rsidRPr="00B62ADA" w:rsidRDefault="00112FBE" w:rsidP="00112FBE">
      <w:pPr>
        <w:pStyle w:val="NormalHanging12a"/>
        <w:rPr>
          <w:noProof/>
        </w:rPr>
      </w:pPr>
      <w:r w:rsidRPr="00B62ADA">
        <w:t>–</w:t>
      </w:r>
      <w:r w:rsidRPr="00B62ADA">
        <w:tab/>
        <w:t xml:space="preserve">atsižvelgdamas į </w:t>
      </w:r>
      <w:r w:rsidR="00B37AD7" w:rsidRPr="00B37AD7">
        <w:t>2020</w:t>
      </w:r>
      <w:r w:rsidRPr="00B62ADA">
        <w:t xml:space="preserve"> m. gruodžio </w:t>
      </w:r>
      <w:r w:rsidR="00B37AD7" w:rsidRPr="00B37AD7">
        <w:t>17</w:t>
      </w:r>
      <w:r w:rsidRPr="00B62ADA">
        <w:t xml:space="preserve"> d. Tarybos reglamentą (ES, Euratomas) </w:t>
      </w:r>
      <w:r w:rsidR="00B37AD7" w:rsidRPr="00B37AD7">
        <w:t>2020</w:t>
      </w:r>
      <w:r w:rsidRPr="00B62ADA">
        <w:t>/</w:t>
      </w:r>
      <w:r w:rsidR="00B37AD7" w:rsidRPr="00B37AD7">
        <w:t>2093</w:t>
      </w:r>
      <w:r w:rsidRPr="00B62ADA">
        <w:t xml:space="preserve">, kuriuo nustatoma </w:t>
      </w:r>
      <w:r w:rsidR="00B37AD7" w:rsidRPr="00B37AD7">
        <w:t>2021</w:t>
      </w:r>
      <w:r w:rsidRPr="00B62ADA">
        <w:t>–</w:t>
      </w:r>
      <w:r w:rsidR="00B37AD7" w:rsidRPr="00B37AD7">
        <w:t>2027</w:t>
      </w:r>
      <w:r w:rsidRPr="00B62ADA">
        <w:t> m. daugiametė finansinė programa (toliau – DFP reglamentas)</w:t>
      </w:r>
      <w:r w:rsidRPr="00B62ADA">
        <w:rPr>
          <w:noProof/>
          <w:vertAlign w:val="superscript"/>
        </w:rPr>
        <w:footnoteReference w:id="2"/>
      </w:r>
      <w:r w:rsidRPr="00B62ADA">
        <w:t xml:space="preserve">, su pakeitimais, padarytais Reglamentu (ES, Euratomas) </w:t>
      </w:r>
      <w:r w:rsidR="00B37AD7" w:rsidRPr="00B37AD7">
        <w:t>2024</w:t>
      </w:r>
      <w:r w:rsidRPr="00B62ADA">
        <w:t>/</w:t>
      </w:r>
      <w:r w:rsidR="00B37AD7" w:rsidRPr="00B37AD7">
        <w:t>765</w:t>
      </w:r>
      <w:r w:rsidRPr="00B62ADA">
        <w:rPr>
          <w:noProof/>
          <w:vertAlign w:val="superscript"/>
        </w:rPr>
        <w:footnoteReference w:id="3"/>
      </w:r>
      <w:r w:rsidRPr="00B62ADA">
        <w:t xml:space="preserve">, ypač į jo </w:t>
      </w:r>
      <w:r w:rsidR="00B37AD7" w:rsidRPr="00B37AD7">
        <w:t>8</w:t>
      </w:r>
      <w:r w:rsidRPr="00B62ADA">
        <w:t xml:space="preserve"> straipsnį, </w:t>
      </w:r>
    </w:p>
    <w:p w14:paraId="0B910397" w14:textId="5B01657F" w:rsidR="00112FBE" w:rsidRPr="00B62ADA" w:rsidRDefault="00112FBE" w:rsidP="00112FBE">
      <w:pPr>
        <w:pStyle w:val="NormalHanging12a"/>
        <w:rPr>
          <w:noProof/>
        </w:rPr>
      </w:pPr>
      <w:r w:rsidRPr="00B62ADA">
        <w:t>–</w:t>
      </w:r>
      <w:r w:rsidRPr="00B62ADA">
        <w:tab/>
        <w:t xml:space="preserve">atsižvelgdamas į </w:t>
      </w:r>
      <w:r w:rsidR="00B37AD7" w:rsidRPr="00B37AD7">
        <w:t>2020</w:t>
      </w:r>
      <w:r w:rsidRPr="00B62ADA">
        <w:t xml:space="preserve"> m. gruodžio </w:t>
      </w:r>
      <w:r w:rsidR="00B37AD7" w:rsidRPr="00B37AD7">
        <w:t>16</w:t>
      </w:r>
      <w:r w:rsidRPr="00B62ADA">
        <w:t>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B62ADA">
        <w:rPr>
          <w:rStyle w:val="FootnoteReference"/>
          <w:noProof/>
        </w:rPr>
        <w:footnoteReference w:id="4"/>
      </w:r>
      <w:r w:rsidRPr="00B62ADA">
        <w:t xml:space="preserve">, ypač į </w:t>
      </w:r>
      <w:r w:rsidRPr="00B62ADA">
        <w:lastRenderedPageBreak/>
        <w:t xml:space="preserve">jo </w:t>
      </w:r>
      <w:r w:rsidR="00B37AD7" w:rsidRPr="00B37AD7">
        <w:t>9</w:t>
      </w:r>
      <w:r w:rsidRPr="00B62ADA">
        <w:t> punktą,</w:t>
      </w:r>
    </w:p>
    <w:p w14:paraId="554365EF" w14:textId="77777777" w:rsidR="00112FBE" w:rsidRPr="00B62ADA" w:rsidRDefault="00112FBE" w:rsidP="00112FBE">
      <w:pPr>
        <w:pStyle w:val="NormalHanging12a"/>
      </w:pPr>
      <w:r w:rsidRPr="00B62ADA">
        <w:t>–</w:t>
      </w:r>
      <w:r w:rsidRPr="00B62ADA">
        <w:tab/>
        <w:t>atsižvelgdamas į Europos socialinių teisių ramstį,</w:t>
      </w:r>
    </w:p>
    <w:p w14:paraId="15AA76DD" w14:textId="77777777" w:rsidR="00112FBE" w:rsidRPr="00B62ADA" w:rsidRDefault="00112FBE" w:rsidP="00112FBE">
      <w:pPr>
        <w:pStyle w:val="NormalHanging12a"/>
      </w:pPr>
      <w:r w:rsidRPr="00B62ADA">
        <w:t>–</w:t>
      </w:r>
      <w:r w:rsidRPr="00B62ADA">
        <w:tab/>
        <w:t>atsižvelgdamas į Užimtumo ir socialinių reikalų komiteto laišką,</w:t>
      </w:r>
    </w:p>
    <w:p w14:paraId="479ECB7C" w14:textId="1F94B624" w:rsidR="00112FBE" w:rsidRPr="00B62ADA" w:rsidRDefault="00112FBE" w:rsidP="00112FBE">
      <w:pPr>
        <w:pStyle w:val="NormalHanging12a"/>
      </w:pPr>
      <w:r w:rsidRPr="00B62ADA">
        <w:t>–</w:t>
      </w:r>
      <w:r w:rsidRPr="00B62ADA">
        <w:tab/>
        <w:t>atsižvelgdamas į Biudžeto komiteto pranešimą (A</w:t>
      </w:r>
      <w:r w:rsidR="00B37AD7" w:rsidRPr="00B37AD7">
        <w:t>10</w:t>
      </w:r>
      <w:r w:rsidRPr="00B62ADA">
        <w:t>-</w:t>
      </w:r>
      <w:r w:rsidR="00B37AD7" w:rsidRPr="00B37AD7">
        <w:t>0061</w:t>
      </w:r>
      <w:r w:rsidRPr="00B62ADA">
        <w:t>/</w:t>
      </w:r>
      <w:r w:rsidR="00B37AD7" w:rsidRPr="00B37AD7">
        <w:t>2026</w:t>
      </w:r>
      <w:r w:rsidRPr="00B62ADA">
        <w:t>),</w:t>
      </w:r>
    </w:p>
    <w:p w14:paraId="31F12DAA" w14:textId="77777777" w:rsidR="00112FBE" w:rsidRPr="00B62ADA" w:rsidRDefault="00112FBE" w:rsidP="00112FBE">
      <w:pPr>
        <w:pStyle w:val="NormalHanging12a"/>
        <w:rPr>
          <w:noProof/>
        </w:rPr>
      </w:pPr>
      <w:r w:rsidRPr="00B62ADA">
        <w:t>A.</w:t>
      </w:r>
      <w:r w:rsidRPr="00B62ADA">
        <w:tab/>
        <w:t>kadangi Sąjunga, siekdama teikti papildomą paramą darbuotojams, nukentėjusiems dėl esminių struktūrinių pasaulio prekybos sistemos įvykių ir pokyčių, ir padėti jiems vėl integruotis į darbo rinką, nustatė teisėkūros ir biudžetines priemones; kadangi šią pagalbą sudaro darbuotojams teikiama finansinė parama;</w:t>
      </w:r>
    </w:p>
    <w:p w14:paraId="0C718F87" w14:textId="51C94BA0" w:rsidR="00112FBE" w:rsidRPr="00B62ADA" w:rsidRDefault="00112FBE" w:rsidP="00112FBE">
      <w:pPr>
        <w:pStyle w:val="NormalHanging12a"/>
      </w:pPr>
      <w:r w:rsidRPr="00B62ADA">
        <w:t>B.</w:t>
      </w:r>
      <w:r w:rsidRPr="00B62ADA">
        <w:tab/>
        <w:t>kadangi Belgija pateikė paraišką „EGF/</w:t>
      </w:r>
      <w:r w:rsidR="00B37AD7" w:rsidRPr="00B37AD7">
        <w:t>2025</w:t>
      </w:r>
      <w:r w:rsidRPr="00B62ADA">
        <w:t>/</w:t>
      </w:r>
      <w:r w:rsidR="00B37AD7" w:rsidRPr="00B37AD7">
        <w:t>007</w:t>
      </w:r>
      <w:r w:rsidRPr="00B62ADA">
        <w:t> BE/</w:t>
      </w:r>
      <w:proofErr w:type="spellStart"/>
      <w:r w:rsidRPr="00B62ADA">
        <w:t>Casa</w:t>
      </w:r>
      <w:proofErr w:type="spellEnd"/>
      <w:r w:rsidRPr="00B62ADA">
        <w:t xml:space="preserve">“ dėl EGF finansinės paramos po to, kai per ataskaitinį laikotarpį nuo </w:t>
      </w:r>
      <w:r w:rsidR="00B37AD7" w:rsidRPr="00B37AD7">
        <w:t>2025</w:t>
      </w:r>
      <w:r w:rsidRPr="00B62ADA">
        <w:t xml:space="preserve"> m. kovo </w:t>
      </w:r>
      <w:r w:rsidR="00B37AD7" w:rsidRPr="00B37AD7">
        <w:t>6</w:t>
      </w:r>
      <w:r w:rsidRPr="00B62ADA">
        <w:t xml:space="preserve"> d. iki </w:t>
      </w:r>
      <w:r w:rsidR="00B37AD7" w:rsidRPr="00B37AD7">
        <w:t>2025</w:t>
      </w:r>
      <w:r w:rsidRPr="00B62ADA">
        <w:t xml:space="preserve"> m. liepos </w:t>
      </w:r>
      <w:r w:rsidR="00B37AD7" w:rsidRPr="00B37AD7">
        <w:t>6</w:t>
      </w:r>
      <w:r w:rsidRPr="00B62ADA">
        <w:t> d. iš Belgijos įmonės „</w:t>
      </w:r>
      <w:proofErr w:type="spellStart"/>
      <w:r w:rsidRPr="00B62ADA">
        <w:t>Casa</w:t>
      </w:r>
      <w:proofErr w:type="spellEnd"/>
      <w:r w:rsidRPr="00B62ADA">
        <w:t xml:space="preserve"> International NV“ (toliau – „</w:t>
      </w:r>
      <w:proofErr w:type="spellStart"/>
      <w:r w:rsidRPr="00B62ADA">
        <w:t>Casa</w:t>
      </w:r>
      <w:proofErr w:type="spellEnd"/>
      <w:r w:rsidRPr="00B62ADA">
        <w:t>“) Antverpeno provincijos (BE</w:t>
      </w:r>
      <w:r w:rsidR="00B37AD7" w:rsidRPr="00B37AD7">
        <w:t>21</w:t>
      </w:r>
      <w:r w:rsidRPr="00B62ADA">
        <w:t xml:space="preserve">) (Flandrija) ekonomikos sektoriuose, kurie priskiriami NACE </w:t>
      </w:r>
      <w:r w:rsidR="00B37AD7" w:rsidRPr="00B37AD7">
        <w:t>2</w:t>
      </w:r>
      <w:r w:rsidRPr="00B62ADA">
        <w:t xml:space="preserve"> red. </w:t>
      </w:r>
      <w:r w:rsidR="00B37AD7" w:rsidRPr="00B37AD7">
        <w:t>47</w:t>
      </w:r>
      <w:r w:rsidRPr="00B62ADA">
        <w:t xml:space="preserve"> skyriui (Mažmeninė prekyba, išskyrus variklinių transporto priemonių ir motociklų prekybą) ir </w:t>
      </w:r>
      <w:r w:rsidR="00B37AD7" w:rsidRPr="00B37AD7">
        <w:t>52</w:t>
      </w:r>
      <w:r w:rsidRPr="00B62ADA">
        <w:t xml:space="preserve"> skyriui (Sandėliavimas ir transportui būdingų paslaugų veikla), buvo atleista </w:t>
      </w:r>
      <w:r w:rsidR="00B37AD7" w:rsidRPr="00B37AD7">
        <w:t>416</w:t>
      </w:r>
      <w:r w:rsidRPr="00B62ADA">
        <w:t xml:space="preserve"> darbuotojų</w:t>
      </w:r>
      <w:r w:rsidRPr="00B62ADA">
        <w:rPr>
          <w:vertAlign w:val="superscript"/>
        </w:rPr>
        <w:footnoteReference w:id="5"/>
      </w:r>
      <w:r w:rsidRPr="00B62ADA">
        <w:t xml:space="preserve">; </w:t>
      </w:r>
    </w:p>
    <w:p w14:paraId="7B9BED6E" w14:textId="55779AB0" w:rsidR="00112FBE" w:rsidRPr="00B62ADA" w:rsidRDefault="00112FBE" w:rsidP="00112FBE">
      <w:pPr>
        <w:pStyle w:val="NormalHanging12a"/>
      </w:pPr>
      <w:r w:rsidRPr="00B62ADA">
        <w:t>C.</w:t>
      </w:r>
      <w:r w:rsidRPr="00B62ADA">
        <w:tab/>
        <w:t xml:space="preserve">kadangi paraiška grindžiama EGF reglamento </w:t>
      </w:r>
      <w:r w:rsidR="00B37AD7" w:rsidRPr="00B37AD7">
        <w:t>4</w:t>
      </w:r>
      <w:r w:rsidRPr="00B62ADA">
        <w:t xml:space="preserve"> straipsnio </w:t>
      </w:r>
      <w:r w:rsidR="00B37AD7" w:rsidRPr="00B37AD7">
        <w:t>2</w:t>
      </w:r>
      <w:r w:rsidRPr="00B62ADA">
        <w:t xml:space="preserve"> dalies a punkte nustatytais intervencijos kriterijais; kadangi iš įmonės „</w:t>
      </w:r>
      <w:proofErr w:type="spellStart"/>
      <w:r w:rsidRPr="00B62ADA">
        <w:t>Casa</w:t>
      </w:r>
      <w:proofErr w:type="spellEnd"/>
      <w:r w:rsidRPr="00B62ADA">
        <w:t xml:space="preserve"> International NV“ (mažmeninė prekyba), turinčios </w:t>
      </w:r>
      <w:r w:rsidR="00B37AD7" w:rsidRPr="00B37AD7">
        <w:t>65</w:t>
      </w:r>
      <w:r w:rsidRPr="00B62ADA">
        <w:t xml:space="preserve"> mažmeninės prekybos vietas visoje Belgijoje, buvo atleisti </w:t>
      </w:r>
      <w:r w:rsidR="00B37AD7" w:rsidRPr="00B37AD7">
        <w:t>257</w:t>
      </w:r>
      <w:r w:rsidRPr="00B62ADA">
        <w:t xml:space="preserve"> darbuotojai, ir iš įmonės „</w:t>
      </w:r>
      <w:proofErr w:type="spellStart"/>
      <w:r w:rsidRPr="00B62ADA">
        <w:t>Casa</w:t>
      </w:r>
      <w:proofErr w:type="spellEnd"/>
      <w:r w:rsidRPr="00B62ADA">
        <w:t xml:space="preserve"> </w:t>
      </w:r>
      <w:proofErr w:type="spellStart"/>
      <w:r w:rsidRPr="00B62ADA">
        <w:t>Logistics</w:t>
      </w:r>
      <w:proofErr w:type="spellEnd"/>
      <w:r w:rsidRPr="00B62ADA">
        <w:t xml:space="preserve"> NV“ (sandėliavimas), atsakingos už sandėliavimą ir paskirstymą šiose prekybos vietose, buvo atleisti </w:t>
      </w:r>
      <w:r w:rsidR="00B37AD7" w:rsidRPr="00B37AD7">
        <w:t>159</w:t>
      </w:r>
      <w:r w:rsidRPr="00B62ADA">
        <w:t xml:space="preserve"> darbuotojai; </w:t>
      </w:r>
    </w:p>
    <w:p w14:paraId="27F0886D" w14:textId="1DA67B69" w:rsidR="00112FBE" w:rsidRPr="00B62ADA" w:rsidRDefault="00112FBE" w:rsidP="00112FBE">
      <w:pPr>
        <w:pStyle w:val="NormalHanging12a"/>
        <w:rPr>
          <w:noProof/>
        </w:rPr>
      </w:pPr>
      <w:r w:rsidRPr="00B62ADA">
        <w:t>D.</w:t>
      </w:r>
      <w:r w:rsidRPr="00B62ADA">
        <w:tab/>
        <w:t xml:space="preserve">kadangi </w:t>
      </w:r>
      <w:r w:rsidR="00B37AD7" w:rsidRPr="00B37AD7">
        <w:t>2025</w:t>
      </w:r>
      <w:r w:rsidRPr="00B62ADA">
        <w:t xml:space="preserve"> m. kovo </w:t>
      </w:r>
      <w:r w:rsidR="00B37AD7" w:rsidRPr="00B37AD7">
        <w:t>6</w:t>
      </w:r>
      <w:r w:rsidRPr="00B62ADA">
        <w:t> d. įmonė „</w:t>
      </w:r>
      <w:proofErr w:type="spellStart"/>
      <w:r w:rsidRPr="00B62ADA">
        <w:t>Casa</w:t>
      </w:r>
      <w:proofErr w:type="spellEnd"/>
      <w:r w:rsidRPr="00B62ADA">
        <w:t xml:space="preserve">“ paskelbė bankrotą; kadangi nuo </w:t>
      </w:r>
      <w:r w:rsidR="00B37AD7" w:rsidRPr="00B37AD7">
        <w:t>2022</w:t>
      </w:r>
      <w:r w:rsidRPr="00B62ADA">
        <w:t xml:space="preserve"> m. Belgijoje daugėja bankrotų, ypač mažmeninės prekybos sektoriuje, kuriame vyksta esminė struktūrinė pertvarka, kurią lemia e. prekybos augimas ir kintantys vartotojų įpročiai; kadangi šiuo atveju moterys sudaro </w:t>
      </w:r>
      <w:r w:rsidR="00B37AD7" w:rsidRPr="00B37AD7">
        <w:t>67</w:t>
      </w:r>
      <w:r w:rsidRPr="00B62ADA">
        <w:t>,</w:t>
      </w:r>
      <w:r w:rsidR="00B37AD7" w:rsidRPr="00B37AD7">
        <w:t>5</w:t>
      </w:r>
      <w:r w:rsidRPr="00B62ADA">
        <w:t> proc. darbo jėgos; todėl pabrėžia, kad taikant EGF paramos priemones turėtų būti atsižvelgiama į konkrečius poreikius ir kliūtis, su kuriomis susiduria šios į darbo rinką grįžtančios moterys;</w:t>
      </w:r>
    </w:p>
    <w:p w14:paraId="51AE93FD" w14:textId="77777777" w:rsidR="00112FBE" w:rsidRPr="00B62ADA" w:rsidRDefault="00112FBE" w:rsidP="00112FBE">
      <w:pPr>
        <w:pStyle w:val="NormalHanging12a"/>
      </w:pPr>
      <w:r w:rsidRPr="00B62ADA">
        <w:t>E.</w:t>
      </w:r>
      <w:r w:rsidRPr="00B62ADA">
        <w:tab/>
        <w:t>kadangi nacionalinį išankstinį ir bendrą priemonių finansavimą teikia VDAB;</w:t>
      </w:r>
    </w:p>
    <w:p w14:paraId="31703B4F" w14:textId="77777777" w:rsidR="00112FBE" w:rsidRPr="00B62ADA" w:rsidRDefault="00112FBE" w:rsidP="00112FBE">
      <w:pPr>
        <w:pStyle w:val="NormalHanging12a"/>
      </w:pPr>
      <w:r w:rsidRPr="00B62ADA">
        <w:t>F.</w:t>
      </w:r>
      <w:r w:rsidRPr="00B62ADA">
        <w:tab/>
        <w:t>kadangi atitinkamos įmonės laikėsi Sąjungos ir nacionalinės teisės aktuose nustatytų su kolektyviniu atleidimu iš darbo susijusių reikalavimų;</w:t>
      </w:r>
    </w:p>
    <w:p w14:paraId="39A01CD7" w14:textId="77777777" w:rsidR="00112FBE" w:rsidRPr="00B62ADA" w:rsidRDefault="00112FBE" w:rsidP="00112FBE">
      <w:pPr>
        <w:pStyle w:val="NormalHanging12a"/>
      </w:pPr>
      <w:r w:rsidRPr="00B62ADA">
        <w:t>G.</w:t>
      </w:r>
      <w:r w:rsidRPr="00B62ADA">
        <w:tab/>
        <w:t xml:space="preserve">kadangi EGF finansiniai įnašai pirmiausia turėtų būti skiriami aktyvios darbo rinkos politikos priemonėms ir prie individualių poreikių pritaikytoms paslaugoms, kuriomis siekiama greitai </w:t>
      </w:r>
      <w:proofErr w:type="spellStart"/>
      <w:r w:rsidRPr="00B62ADA">
        <w:t>reintegruoti</w:t>
      </w:r>
      <w:proofErr w:type="spellEnd"/>
      <w:r w:rsidRPr="00B62ADA">
        <w:t xml:space="preserve"> paramos gavėjus į darbo rinką, siūlant jiems įgūdžių tobulinimo mokymus, kad jie turėtų geresnes galimybes įsidarbinti;</w:t>
      </w:r>
    </w:p>
    <w:p w14:paraId="4E7F4776" w14:textId="71A908EF" w:rsidR="00112FBE" w:rsidRPr="00B62ADA" w:rsidRDefault="00112FBE" w:rsidP="00112FBE">
      <w:pPr>
        <w:pStyle w:val="NormalHanging12a"/>
      </w:pPr>
      <w:r w:rsidRPr="00B62ADA">
        <w:t>H.</w:t>
      </w:r>
      <w:r w:rsidRPr="00B62ADA">
        <w:tab/>
        <w:t xml:space="preserve">kadangi EGF didžiausia metinė suma neviršija </w:t>
      </w:r>
      <w:r w:rsidR="00B37AD7" w:rsidRPr="00B37AD7">
        <w:t>30</w:t>
      </w:r>
      <w:r w:rsidRPr="00B62ADA">
        <w:t> mln. EUR (</w:t>
      </w:r>
      <w:r w:rsidR="00B37AD7" w:rsidRPr="00B37AD7">
        <w:t>2018</w:t>
      </w:r>
      <w:r w:rsidRPr="00B62ADA">
        <w:t> m. kainomis)</w:t>
      </w:r>
      <w:r w:rsidRPr="00B62ADA">
        <w:rPr>
          <w:rStyle w:val="FootnoteReference"/>
        </w:rPr>
        <w:footnoteReference w:id="6"/>
      </w:r>
      <w:r w:rsidRPr="00B62ADA">
        <w:t xml:space="preserve">; </w:t>
      </w:r>
    </w:p>
    <w:p w14:paraId="03E54E2A" w14:textId="17BFA66C" w:rsidR="00112FBE" w:rsidRPr="00B62ADA" w:rsidRDefault="00B37AD7" w:rsidP="00112FBE">
      <w:pPr>
        <w:pStyle w:val="NormalHanging12a"/>
      </w:pPr>
      <w:r w:rsidRPr="00B37AD7">
        <w:t>1</w:t>
      </w:r>
      <w:r w:rsidR="00112FBE" w:rsidRPr="00B62ADA">
        <w:t>.</w:t>
      </w:r>
      <w:r w:rsidR="00112FBE" w:rsidRPr="00B62ADA">
        <w:tab/>
        <w:t xml:space="preserve">pritaria Komisijai, kad tenkinamos EGF reglamento ir ypač jo </w:t>
      </w:r>
      <w:r w:rsidRPr="00B37AD7">
        <w:t>4</w:t>
      </w:r>
      <w:r w:rsidR="00112FBE" w:rsidRPr="00B62ADA">
        <w:t xml:space="preserve"> straipsnio </w:t>
      </w:r>
      <w:r w:rsidRPr="00B37AD7">
        <w:t>2</w:t>
      </w:r>
      <w:r w:rsidR="00112FBE" w:rsidRPr="00B62ADA">
        <w:t xml:space="preserve"> dalies a punkte nustatytos sąlygos ir kad Belgija turi teisę pagal šį reglamentą gauti </w:t>
      </w:r>
      <w:r w:rsidRPr="00B37AD7">
        <w:t>1</w:t>
      </w:r>
      <w:r w:rsidR="00112FBE" w:rsidRPr="00B62ADA">
        <w:t> </w:t>
      </w:r>
      <w:r w:rsidRPr="00B37AD7">
        <w:t>916</w:t>
      </w:r>
      <w:r w:rsidR="00112FBE" w:rsidRPr="00B62ADA">
        <w:t> </w:t>
      </w:r>
      <w:r w:rsidRPr="00B37AD7">
        <w:t>733</w:t>
      </w:r>
      <w:r w:rsidR="00112FBE" w:rsidRPr="00B62ADA">
        <w:t xml:space="preserve"> EUR finansinę paramą, kuri sudaro </w:t>
      </w:r>
      <w:r w:rsidRPr="00B37AD7">
        <w:t>85</w:t>
      </w:r>
      <w:r w:rsidR="00112FBE" w:rsidRPr="00B62ADA">
        <w:t xml:space="preserve"> proc. visų išlaidų, siekiančių </w:t>
      </w:r>
      <w:r w:rsidRPr="00B37AD7">
        <w:t>2</w:t>
      </w:r>
      <w:r w:rsidR="00112FBE" w:rsidRPr="00B62ADA">
        <w:t> </w:t>
      </w:r>
      <w:r w:rsidRPr="00B37AD7">
        <w:t>254</w:t>
      </w:r>
      <w:r w:rsidR="00112FBE" w:rsidRPr="00B62ADA">
        <w:t> </w:t>
      </w:r>
      <w:r w:rsidRPr="00B37AD7">
        <w:t>980</w:t>
      </w:r>
      <w:r w:rsidR="00112FBE" w:rsidRPr="00B62ADA">
        <w:t xml:space="preserve"> EUR ir apimančių prie individualių poreikių pritaikytų paslaugų išlaidas </w:t>
      </w:r>
      <w:r w:rsidR="00112FBE" w:rsidRPr="00B62ADA">
        <w:lastRenderedPageBreak/>
        <w:t>(</w:t>
      </w:r>
      <w:r w:rsidRPr="00B37AD7">
        <w:t>2</w:t>
      </w:r>
      <w:r w:rsidR="00112FBE" w:rsidRPr="00B62ADA">
        <w:t> </w:t>
      </w:r>
      <w:r w:rsidRPr="00B37AD7">
        <w:t>168</w:t>
      </w:r>
      <w:r w:rsidR="00112FBE" w:rsidRPr="00B62ADA">
        <w:t> </w:t>
      </w:r>
      <w:r w:rsidRPr="00B37AD7">
        <w:t>980</w:t>
      </w:r>
      <w:r w:rsidR="00112FBE" w:rsidRPr="00B62ADA">
        <w:t> EUR) ir parengiamosios, valdymo, informavimo ir viešinimo, kontrolės ir ataskaitų teikimo veiklos išlaidas (</w:t>
      </w:r>
      <w:r w:rsidRPr="00B37AD7">
        <w:t>86</w:t>
      </w:r>
      <w:r w:rsidR="00112FBE" w:rsidRPr="00B62ADA">
        <w:t> </w:t>
      </w:r>
      <w:r w:rsidRPr="00B37AD7">
        <w:t>000</w:t>
      </w:r>
      <w:r w:rsidR="00112FBE" w:rsidRPr="00B62ADA">
        <w:t> EUR);</w:t>
      </w:r>
    </w:p>
    <w:p w14:paraId="0EF46200" w14:textId="6BC1D40D" w:rsidR="00112FBE" w:rsidRPr="00B62ADA" w:rsidRDefault="00B37AD7" w:rsidP="00112FBE">
      <w:pPr>
        <w:pStyle w:val="NormalHanging12a"/>
      </w:pPr>
      <w:r w:rsidRPr="00B37AD7">
        <w:t>2</w:t>
      </w:r>
      <w:r w:rsidR="00112FBE" w:rsidRPr="00B62ADA">
        <w:t>.</w:t>
      </w:r>
      <w:r w:rsidR="00112FBE" w:rsidRPr="00B62ADA">
        <w:tab/>
        <w:t xml:space="preserve">pažymi, kad Belgijos valdžios institucijos paraišką pateikė </w:t>
      </w:r>
      <w:r w:rsidRPr="00B37AD7">
        <w:t>2025</w:t>
      </w:r>
      <w:r w:rsidR="00112FBE" w:rsidRPr="00B62ADA">
        <w:t xml:space="preserve"> m. rugsėjo </w:t>
      </w:r>
      <w:r w:rsidRPr="00B37AD7">
        <w:t>23</w:t>
      </w:r>
      <w:r w:rsidR="00112FBE" w:rsidRPr="00B62ADA">
        <w:t xml:space="preserve"> d. ir kad, gavusi papildomos informacijos iš Belgijos, </w:t>
      </w:r>
      <w:r w:rsidRPr="00B37AD7">
        <w:t>2026</w:t>
      </w:r>
      <w:r w:rsidR="00112FBE" w:rsidRPr="00B62ADA">
        <w:t xml:space="preserve"> m. vasario </w:t>
      </w:r>
      <w:r w:rsidRPr="00B37AD7">
        <w:t>6</w:t>
      </w:r>
      <w:r w:rsidR="00112FBE" w:rsidRPr="00B62ADA">
        <w:t xml:space="preserve"> d. Komisija baigė savo vertinimą ir </w:t>
      </w:r>
      <w:r w:rsidRPr="00B37AD7">
        <w:t>2026</w:t>
      </w:r>
      <w:r w:rsidR="00112FBE" w:rsidRPr="00B62ADA">
        <w:t xml:space="preserve"> m. vasario </w:t>
      </w:r>
      <w:r w:rsidRPr="00B37AD7">
        <w:t>11</w:t>
      </w:r>
      <w:r w:rsidR="00112FBE" w:rsidRPr="00B62ADA">
        <w:t> d. informavo Parlamentą; pabrėžia, kad svarbu sutrumpinti laikotarpį nuo paraiškos EGF paramai gauti pateikimo iki sprendimo dėl finansavimo priėmimo, kartu visapusiškai išlaikant Europos Parlamento, kaip vienos iš biudžeto valdymo institucijų, teises;</w:t>
      </w:r>
    </w:p>
    <w:p w14:paraId="50604B14" w14:textId="3B7EC378" w:rsidR="00112FBE" w:rsidRPr="00B62ADA" w:rsidRDefault="00B37AD7" w:rsidP="00112FBE">
      <w:pPr>
        <w:pStyle w:val="NormalHanging12a"/>
      </w:pPr>
      <w:r w:rsidRPr="00B37AD7">
        <w:t>3</w:t>
      </w:r>
      <w:r w:rsidR="00112FBE" w:rsidRPr="00B62ADA">
        <w:t>.</w:t>
      </w:r>
      <w:r w:rsidR="00112FBE" w:rsidRPr="00B62ADA">
        <w:tab/>
        <w:t>pažymi, kad paraiška susijusi su darbuotojais, kurių veikla nutrūko dviejose „</w:t>
      </w:r>
      <w:proofErr w:type="spellStart"/>
      <w:r w:rsidR="00112FBE" w:rsidRPr="00B62ADA">
        <w:t>Casa</w:t>
      </w:r>
      <w:proofErr w:type="spellEnd"/>
      <w:r w:rsidR="00112FBE" w:rsidRPr="00B62ADA">
        <w:t>“ įmonėse, ir kad jie visi bus tiksliniai paramos gavėjai;</w:t>
      </w:r>
    </w:p>
    <w:p w14:paraId="192D1722" w14:textId="35185DD8" w:rsidR="00112FBE" w:rsidRPr="00B62ADA" w:rsidRDefault="00B37AD7" w:rsidP="00112FBE">
      <w:pPr>
        <w:pStyle w:val="NormalHanging12a"/>
      </w:pPr>
      <w:r w:rsidRPr="00B37AD7">
        <w:t>4</w:t>
      </w:r>
      <w:r w:rsidR="00112FBE" w:rsidRPr="00B62ADA">
        <w:t>.</w:t>
      </w:r>
      <w:r w:rsidR="00112FBE" w:rsidRPr="00B62ADA">
        <w:tab/>
        <w:t>atkreipia dėmesį į tai, kad kelerius metus iki bankroto paskelbimo įmonė „</w:t>
      </w:r>
      <w:proofErr w:type="spellStart"/>
      <w:r w:rsidR="00112FBE" w:rsidRPr="00B62ADA">
        <w:t>Casa</w:t>
      </w:r>
      <w:proofErr w:type="spellEnd"/>
      <w:r w:rsidR="00112FBE" w:rsidRPr="00B62ADA">
        <w:t>“ patyrė finansinių sunkumų, susijusių su didėjančiu e. prekybos paplitimu, padidėjusia tarptautine konkurencija ir nesąžiningomis konkurencijos sąlygomis, dėl kurių galiausiai atsirado didelis likvidumo trūkumas ir nebuvo įmanoma nustatyti galimų įmonės pirkėjų; pabrėžia, kad reikia stiprinti įmonių valdymo gebėjimus užkirsti kelią atleidimui iš darbo, prisitaikyti prie dabartinių geopolitinių aplinkybių ir aktyviai reaguoti į didelio masto restruktūrizavimo įvykius;</w:t>
      </w:r>
    </w:p>
    <w:p w14:paraId="71DD3729" w14:textId="06926147" w:rsidR="00112FBE" w:rsidRPr="00B62ADA" w:rsidRDefault="00B37AD7" w:rsidP="00112FBE">
      <w:pPr>
        <w:pStyle w:val="NormalHanging12a"/>
        <w:rPr>
          <w:noProof/>
        </w:rPr>
      </w:pPr>
      <w:r w:rsidRPr="00B37AD7">
        <w:t>5</w:t>
      </w:r>
      <w:r w:rsidR="00112FBE" w:rsidRPr="00B62ADA">
        <w:t>.</w:t>
      </w:r>
      <w:r w:rsidR="00112FBE" w:rsidRPr="00B62ADA">
        <w:tab/>
        <w:t>pažymi, kad palankiausias užimtumo perspektyvas turi atleisti pardavėjai, o sandėlių darbuotojai susiduria su didesniais sunkumais ieškodami naujų darbo vietų ir jiems reikia papildomos paramos keliant kvalifikaciją, persikvalifikuojant, persikeliant į kitą gyvenamąją vietą ar keičiant profesinį profilį; ragina Belgijos valdžios institucijas teikti konkrečią specialiai pritaikytą paramą, siekiant padėti darbuotojams įveikti kliūtis ir rasti naują darbo vietą, atitinkančią darbo rinkos poreikius; pabrėžia, kad atleistų darbuotojų reintegracija yra labai svarbi perspektyviai Europos ekonomikai, turinčiai tvirtą pramoninę bazę;</w:t>
      </w:r>
    </w:p>
    <w:p w14:paraId="4E9A087E" w14:textId="171FDA36" w:rsidR="00112FBE" w:rsidRPr="00B62ADA" w:rsidRDefault="00B37AD7" w:rsidP="00112FBE">
      <w:pPr>
        <w:pStyle w:val="NormalHanging12a"/>
      </w:pPr>
      <w:r w:rsidRPr="00B37AD7">
        <w:t>6</w:t>
      </w:r>
      <w:r w:rsidR="00112FBE" w:rsidRPr="00B62ADA">
        <w:t>.</w:t>
      </w:r>
      <w:r w:rsidR="00112FBE" w:rsidRPr="00B62ADA">
        <w:tab/>
        <w:t xml:space="preserve">apgailestauja dėl to, kad per pastaruosius dvejus metus padidėjęs bankrotų skaičius turėjo neigiamą poveikį nedarbo lygiui kai kuriuose Belgijos regionuose, ypač Briuselyje ir </w:t>
      </w:r>
      <w:proofErr w:type="spellStart"/>
      <w:r w:rsidR="00112FBE" w:rsidRPr="00B62ADA">
        <w:t>Olene</w:t>
      </w:r>
      <w:proofErr w:type="spellEnd"/>
      <w:r w:rsidR="00112FBE" w:rsidRPr="00B62ADA">
        <w:t xml:space="preserve"> (Antverpeno provincija); pažymi, kad per </w:t>
      </w:r>
      <w:r w:rsidRPr="00B37AD7">
        <w:t>18</w:t>
      </w:r>
      <w:r w:rsidR="00112FBE" w:rsidRPr="00B62ADA">
        <w:t xml:space="preserve"> mėnesių Belgijoje dėl bankroto, daugiausia Flandrijoje, buvo prarasta apie </w:t>
      </w:r>
      <w:r w:rsidRPr="00B37AD7">
        <w:t>45</w:t>
      </w:r>
      <w:r w:rsidR="00112FBE" w:rsidRPr="00B62ADA">
        <w:t> </w:t>
      </w:r>
      <w:r w:rsidRPr="00B37AD7">
        <w:t>000</w:t>
      </w:r>
      <w:r w:rsidR="00112FBE" w:rsidRPr="00B62ADA">
        <w:t xml:space="preserve"> darbo vietų; pabrėžia, kad Flandrijoje žemą išsilavinimą turintiems asmenims nedarbo rizika yra daugiau nei dviguba; pabrėžia, kad svarbu užtikrinti verslui palankią aplinką, kurioje įmonės galėtų išlikti konkurencingos, būtų kuriamos darbo vietos ir prisidedama prie tvaraus ekonomikos augimo;</w:t>
      </w:r>
    </w:p>
    <w:p w14:paraId="0644B97F" w14:textId="67DEDA6E" w:rsidR="00112FBE" w:rsidRPr="00B62ADA" w:rsidRDefault="00B37AD7" w:rsidP="00112FBE">
      <w:pPr>
        <w:pStyle w:val="NormalHanging12a"/>
      </w:pPr>
      <w:r w:rsidRPr="00B37AD7">
        <w:t>7</w:t>
      </w:r>
      <w:r w:rsidR="00112FBE" w:rsidRPr="00B62ADA">
        <w:t>.</w:t>
      </w:r>
      <w:r w:rsidR="00112FBE" w:rsidRPr="00B62ADA">
        <w:tab/>
        <w:t xml:space="preserve">primena, kad pagal susitarimą su ekspertais ir socialiniais partneriais, prie individualių poreikių pritaikytas paslaugas, kurios turi būti teikiamos darbuotojams, sudaro šios priemonės: informacinės sesijos, per kurias teikiamos gairės dėl reintegracijos į darbo rinką; perdarbinimo paslaugos, skirtos padėti darbuotojams ieškoti darbo; aktyvus tarpininkavimas, daugiausia dėmesio skiriant kiekvieno darbo ieškančio asmens profiliui; individualiems poreikiams pritaikytos įgūdžių, įskaitant IT įgūdžius, ugdymo programos; mokymas ir perkvalifikavimas; individualus mokymas darbo vietoje; dalyvavimas darbo mugėje; pabrėžia, kad svarbu skatinti aukštos kokybės, į ateitį orientuotų darbo vietų, kuriomis stiprinamas konkurencingumas ir remiama skaitmeninė transformacija, kūrimą, kartu užtikrinant, kad EGF būtų tinkamai įgyvendinamas ir juo būtų prisidedama prie ilgalaikio Sąjungos ekonominio ir socialinio atsparumo; pabrėžia, kad socialiniai partneriai turėtų dalyvauti visame EGF priemonių įgyvendinimo procese, įskaitant stebėsenos etapą, kad būtų užtikrinta paramos gavėjams teikiamos paramos </w:t>
      </w:r>
      <w:r w:rsidR="00112FBE" w:rsidRPr="00B62ADA">
        <w:lastRenderedPageBreak/>
        <w:t xml:space="preserve">kokybė ir aktualumas; </w:t>
      </w:r>
    </w:p>
    <w:p w14:paraId="158CE9F2" w14:textId="4680703F" w:rsidR="00112FBE" w:rsidRPr="00B62ADA" w:rsidRDefault="00B37AD7" w:rsidP="00112FBE">
      <w:pPr>
        <w:pStyle w:val="NormalHanging12a"/>
      </w:pPr>
      <w:r w:rsidRPr="00B37AD7">
        <w:t>8</w:t>
      </w:r>
      <w:r w:rsidR="00112FBE" w:rsidRPr="00B62ADA">
        <w:t>.</w:t>
      </w:r>
      <w:r w:rsidR="00112FBE" w:rsidRPr="00B62ADA">
        <w:tab/>
        <w:t>primena, kad EGF yra solidarumo ir teisingos pertvarkos priemonė ir, nors pagal jį parama teikiama praradus darbo vietas, jis negali pakeisti aktyvios pramonės politikos; mano, kad EGF lėšų mobilizavimas turi būti įtrauktas į platesnio masto politinį atsaką visais politiniais lygmenimis, siekiant užtikrinti, kad nukentėję darbuotojai turėtų tinkamas galimybes, atitinkančias jų kvalifikaciją ir įgūdžius; pabrėžia, kad pagrindinė Sąjungos užduotis turi būti visų pirma užkirsti kelią tokiam įmonių uždarymui, sudarant sąlygas pramonės gamybai išlikti konkurencinga, kartu investuojant į aukštos kvalifikacijos darbuotojų ir pramonės darbuotojų įgūdžius; pabrėžia būtinybę teikti specialią paramą, kuri būtų pritaikyta prie darbuotojų, kurių išsilavinimo lygis yra žemesnis, profilių, taip pat imtis priemonių bankrotų skaičiui mažinti ir socialinei nelygybei, dėl kurios darbuotojai atskiriami nuo darbo rinkos, panaikinti;</w:t>
      </w:r>
    </w:p>
    <w:p w14:paraId="59F7B437" w14:textId="50B691AD" w:rsidR="00112FBE" w:rsidRPr="00B62ADA" w:rsidRDefault="00B37AD7" w:rsidP="00112FBE">
      <w:pPr>
        <w:pStyle w:val="NormalHanging12a"/>
        <w:rPr>
          <w:bCs/>
          <w:iCs/>
        </w:rPr>
      </w:pPr>
      <w:r w:rsidRPr="00B37AD7">
        <w:t>9</w:t>
      </w:r>
      <w:r w:rsidR="00112FBE" w:rsidRPr="00B62ADA">
        <w:t>.</w:t>
      </w:r>
      <w:r w:rsidR="00112FBE" w:rsidRPr="00B62ADA">
        <w:tab/>
        <w:t>pabrėžia, kad Belgijos valdžios institucijos užtikrina Sąjungos finansavimo matomumą ir pabrėžia jo pridėtinę vertę teikdamos veiksmingą ir tikslinę informaciją paramos gavėjams, regioninėms ir vietos valdžios institucijoms, socialiniams partneriams ir plačiajai visuomenei;</w:t>
      </w:r>
    </w:p>
    <w:p w14:paraId="0EC990E1" w14:textId="04D1968B" w:rsidR="00112FBE" w:rsidRPr="00B62ADA" w:rsidRDefault="00B37AD7" w:rsidP="00112FBE">
      <w:pPr>
        <w:pStyle w:val="NormalHanging12a"/>
      </w:pPr>
      <w:r w:rsidRPr="00B37AD7">
        <w:t>10</w:t>
      </w:r>
      <w:r w:rsidR="00112FBE" w:rsidRPr="00B62ADA">
        <w:t>.</w:t>
      </w:r>
      <w:r w:rsidR="00112FBE" w:rsidRPr="00B62ADA">
        <w:tab/>
        <w:t>ragina atlikti išsamius galutinius įgyvendintų priemonių vertinimus, be kito ko teikti aiškią informaciją apie tai, kaip buvo panaudotos lėšos, apie sėkmingą darbuotojų reintegraciją į darbo rinką ir apie tai, ar priemonėmis pasiekti tikslai, dėl kurių buvo sukurtas EGF;</w:t>
      </w:r>
    </w:p>
    <w:p w14:paraId="65C7B49E" w14:textId="0ED27B47" w:rsidR="00112FBE" w:rsidRPr="00B62ADA" w:rsidRDefault="00B37AD7" w:rsidP="00112FBE">
      <w:pPr>
        <w:pStyle w:val="NormalHanging12a"/>
      </w:pPr>
      <w:r w:rsidRPr="00B37AD7">
        <w:t>11</w:t>
      </w:r>
      <w:r w:rsidR="00112FBE" w:rsidRPr="00B62ADA">
        <w:t>.</w:t>
      </w:r>
      <w:r w:rsidR="00112FBE" w:rsidRPr="00B62ADA">
        <w:tab/>
        <w:t xml:space="preserve">pažymi, kad Belgija tiksliniams paramos gavėjams prie individualių poreikių pritaikytas paslaugas pradėjo teikti </w:t>
      </w:r>
      <w:r w:rsidRPr="00B37AD7">
        <w:t>2025</w:t>
      </w:r>
      <w:r w:rsidR="00112FBE" w:rsidRPr="00B62ADA">
        <w:t xml:space="preserve"> m. kovo </w:t>
      </w:r>
      <w:r w:rsidRPr="00B37AD7">
        <w:t>14</w:t>
      </w:r>
      <w:r w:rsidR="00112FBE" w:rsidRPr="00B62ADA">
        <w:t xml:space="preserve"> d. ir todėl joms skirtos išlaidos bus laikomos tinkamomis finansuoti iš EGF finansinės paramos nuo tos dienos iki tada, kai sueis </w:t>
      </w:r>
      <w:r w:rsidRPr="00B37AD7">
        <w:t>24</w:t>
      </w:r>
      <w:r w:rsidR="00112FBE" w:rsidRPr="00B62ADA">
        <w:t xml:space="preserve"> mėnesiai nuo finansavimo sprendimo įsigaliojimo dienos;</w:t>
      </w:r>
    </w:p>
    <w:p w14:paraId="39690A09" w14:textId="2A6BCEC9" w:rsidR="00112FBE" w:rsidRPr="00B62ADA" w:rsidRDefault="00B37AD7" w:rsidP="00112FBE">
      <w:pPr>
        <w:pStyle w:val="NormalHanging12a"/>
        <w:rPr>
          <w:sz w:val="23"/>
          <w:szCs w:val="23"/>
        </w:rPr>
      </w:pPr>
      <w:r w:rsidRPr="00B37AD7">
        <w:t>12</w:t>
      </w:r>
      <w:r w:rsidR="00112FBE" w:rsidRPr="00B62ADA">
        <w:t>.</w:t>
      </w:r>
      <w:r w:rsidR="00112FBE" w:rsidRPr="00B62ADA">
        <w:tab/>
        <w:t xml:space="preserve">pažymi, kad pirmąsias administracines išlaidas, susijusias su EGF paramos įgyvendinimu, Belgija patyrė </w:t>
      </w:r>
      <w:r w:rsidRPr="00B37AD7">
        <w:t>2025</w:t>
      </w:r>
      <w:r w:rsidR="00112FBE" w:rsidRPr="00B62ADA">
        <w:t xml:space="preserve"> m. kovo </w:t>
      </w:r>
      <w:r w:rsidRPr="00B37AD7">
        <w:t>6</w:t>
      </w:r>
      <w:r w:rsidR="00112FBE" w:rsidRPr="00B62ADA">
        <w:t xml:space="preserve"> d. ir todėl šios išlaidos bus laikomos tinkamomis finansuoti iš EGF finansinės paramos nuo tos dienos iki tada, kai sueis </w:t>
      </w:r>
      <w:r w:rsidRPr="00B37AD7">
        <w:t>31</w:t>
      </w:r>
      <w:r w:rsidR="00112FBE" w:rsidRPr="00B62ADA">
        <w:t xml:space="preserve"> mėnuo nuo finansavimo sprendimo įsigaliojimo dienos;</w:t>
      </w:r>
    </w:p>
    <w:p w14:paraId="0DB2BFAF" w14:textId="29FCE348" w:rsidR="00112FBE" w:rsidRPr="00B62ADA" w:rsidRDefault="00B37AD7" w:rsidP="00112FBE">
      <w:pPr>
        <w:pStyle w:val="NormalHanging12a"/>
      </w:pPr>
      <w:r w:rsidRPr="00B37AD7">
        <w:t>13</w:t>
      </w:r>
      <w:r w:rsidR="00112FBE" w:rsidRPr="00B62ADA">
        <w:t>.</w:t>
      </w:r>
      <w:r w:rsidR="00112FBE" w:rsidRPr="00B62ADA">
        <w:tab/>
        <w:t>atkreipia dėmesį į tai, kad Belgijos valdžios institucijos patvirtino, jog suteikiant galimybę naudotis siūlomais veiksmais ir juos įgyvendinant bus laikomasi vienodo požiūrio ir nediskriminavimo principų ir kad bus išvengta bet kokio dvigubo finansavimo;</w:t>
      </w:r>
    </w:p>
    <w:p w14:paraId="1D7049D5" w14:textId="532BF755" w:rsidR="00112FBE" w:rsidRPr="00B62ADA" w:rsidRDefault="00B37AD7" w:rsidP="00112FBE">
      <w:pPr>
        <w:pStyle w:val="NormalHanging12a"/>
      </w:pPr>
      <w:r w:rsidRPr="00B37AD7">
        <w:t>14</w:t>
      </w:r>
      <w:r w:rsidR="00112FBE" w:rsidRPr="00B62ADA">
        <w:t>.</w:t>
      </w:r>
      <w:r w:rsidR="00112FBE" w:rsidRPr="00B62ADA">
        <w:tab/>
        <w:t>pakartoja, kad EGF parama neturi pakeisti veiksmų, už kuriuos valdžios institucijos ar bendrovės yra atsakingos pagal nacionalinę teisę ar kolektyvines sutartis; primena, kad EGF yra ribotas, tikslinis ir papildomas mechanizmas;</w:t>
      </w:r>
    </w:p>
    <w:p w14:paraId="77CD3F20" w14:textId="0F804E6C" w:rsidR="00112FBE" w:rsidRPr="00B62ADA" w:rsidRDefault="00B37AD7" w:rsidP="00112FBE">
      <w:pPr>
        <w:pStyle w:val="NormalHanging12a"/>
      </w:pPr>
      <w:r w:rsidRPr="00B37AD7">
        <w:t>15</w:t>
      </w:r>
      <w:r w:rsidR="00112FBE" w:rsidRPr="00B62ADA">
        <w:t>.</w:t>
      </w:r>
      <w:r w:rsidR="00112FBE" w:rsidRPr="00B62ADA">
        <w:tab/>
        <w:t>pritaria prie šios rezoliucijos pridedamam sprendimui;</w:t>
      </w:r>
    </w:p>
    <w:p w14:paraId="17FBAB29" w14:textId="46C13209" w:rsidR="00112FBE" w:rsidRPr="00B62ADA" w:rsidRDefault="00B37AD7" w:rsidP="00112FBE">
      <w:pPr>
        <w:pStyle w:val="NormalHanging12a"/>
      </w:pPr>
      <w:r w:rsidRPr="00B37AD7">
        <w:t>16</w:t>
      </w:r>
      <w:r w:rsidR="00112FBE" w:rsidRPr="00B62ADA">
        <w:t>.</w:t>
      </w:r>
      <w:r w:rsidR="00112FBE" w:rsidRPr="00B62ADA">
        <w:tab/>
        <w:t xml:space="preserve">paveda Pirmininkei pasirašyti šį sprendimą su Tarybos pirmininku ir užtikrinti, kad jis būtų paskelbtas </w:t>
      </w:r>
      <w:r w:rsidR="00112FBE" w:rsidRPr="00B62ADA">
        <w:rPr>
          <w:i/>
        </w:rPr>
        <w:t>Europos Sąjungos oficialiajame leidinyje</w:t>
      </w:r>
      <w:r w:rsidR="00112FBE" w:rsidRPr="00B62ADA">
        <w:t>;</w:t>
      </w:r>
    </w:p>
    <w:p w14:paraId="2CE1F32D" w14:textId="1866F80D" w:rsidR="00112FBE" w:rsidRPr="00B62ADA" w:rsidRDefault="00B37AD7" w:rsidP="00112FBE">
      <w:pPr>
        <w:pStyle w:val="NormalHanging12a"/>
      </w:pPr>
      <w:r w:rsidRPr="00B37AD7">
        <w:t>17</w:t>
      </w:r>
      <w:r w:rsidR="00112FBE" w:rsidRPr="00B62ADA">
        <w:t>.</w:t>
      </w:r>
      <w:r w:rsidR="00112FBE" w:rsidRPr="00B62ADA">
        <w:tab/>
        <w:t>paveda Pirmininkei perduoti šią rezoliuciją ir jos priedą Tarybai ir Komisijai.</w:t>
      </w:r>
    </w:p>
    <w:p w14:paraId="733AD06C" w14:textId="77777777" w:rsidR="00112FBE" w:rsidRPr="00B62ADA" w:rsidRDefault="00112FBE" w:rsidP="00112FBE">
      <w:pPr>
        <w:pStyle w:val="PageHeading"/>
        <w:rPr>
          <w:noProof/>
        </w:rPr>
        <w:sectPr w:rsidR="00112FBE" w:rsidRPr="00B62ADA" w:rsidSect="00B62ADA">
          <w:headerReference w:type="even" r:id="rId9"/>
          <w:footerReference w:type="even"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841E2B9" w14:textId="77777777" w:rsidR="004B4229" w:rsidRPr="004B4229" w:rsidRDefault="00112FBE" w:rsidP="00112FBE">
      <w:pPr>
        <w:pStyle w:val="PageHeading"/>
        <w:rPr>
          <w:rFonts w:ascii="Times New Roman" w:hAnsi="Times New Roman" w:cs="Times New Roman"/>
        </w:rPr>
      </w:pPr>
      <w:bookmarkStart w:id="7" w:name="_Toc224747293"/>
      <w:bookmarkStart w:id="8" w:name="_Hlk219192825"/>
      <w:r w:rsidRPr="004B4229">
        <w:rPr>
          <w:rFonts w:ascii="Times New Roman" w:hAnsi="Times New Roman" w:cs="Times New Roman"/>
        </w:rPr>
        <w:lastRenderedPageBreak/>
        <w:t>PRIEDAS</w:t>
      </w:r>
    </w:p>
    <w:p w14:paraId="325ABF96" w14:textId="66D72F63" w:rsidR="00112FBE" w:rsidRPr="004B4229" w:rsidRDefault="00112FBE" w:rsidP="00112FBE">
      <w:pPr>
        <w:pStyle w:val="PageHeading"/>
        <w:rPr>
          <w:rFonts w:ascii="Times New Roman" w:hAnsi="Times New Roman" w:cs="Times New Roman"/>
        </w:rPr>
      </w:pPr>
      <w:r w:rsidRPr="004B4229">
        <w:rPr>
          <w:rFonts w:ascii="Times New Roman" w:hAnsi="Times New Roman" w:cs="Times New Roman"/>
        </w:rPr>
        <w:t>EUROPOS PARLAMENTO IR TARYBOS SPRENDIMAS</w:t>
      </w:r>
      <w:bookmarkEnd w:id="7"/>
    </w:p>
    <w:p w14:paraId="5E74BD2D" w14:textId="57CDF666" w:rsidR="00112FBE" w:rsidRPr="00B62ADA" w:rsidRDefault="00112FBE" w:rsidP="00112FBE">
      <w:pPr>
        <w:pStyle w:val="Titreobjet"/>
        <w:rPr>
          <w:noProof/>
        </w:rPr>
      </w:pPr>
      <w:r w:rsidRPr="00B62ADA">
        <w:t>dėl Europos prisitaikymo prie globalizacijos padarinių fondo atleistiems darbuotojams lėšų mobilizavimo pagal Belgijos paraišką „EGF/</w:t>
      </w:r>
      <w:r w:rsidR="00B37AD7" w:rsidRPr="00B37AD7">
        <w:t>2025</w:t>
      </w:r>
      <w:r w:rsidRPr="00B62ADA">
        <w:t>/</w:t>
      </w:r>
      <w:r w:rsidR="00B37AD7" w:rsidRPr="00B37AD7">
        <w:t>007</w:t>
      </w:r>
      <w:r w:rsidRPr="00B62ADA">
        <w:t xml:space="preserve"> BE/</w:t>
      </w:r>
      <w:proofErr w:type="spellStart"/>
      <w:r w:rsidRPr="00B62ADA">
        <w:t>Casa</w:t>
      </w:r>
      <w:proofErr w:type="spellEnd"/>
      <w:r w:rsidRPr="00B62ADA">
        <w:t>“</w:t>
      </w:r>
    </w:p>
    <w:bookmarkEnd w:id="8"/>
    <w:p w14:paraId="6A87570C" w14:textId="0F6F5005" w:rsidR="00E365E1" w:rsidRPr="00C76745" w:rsidRDefault="004B4229" w:rsidP="004B4229">
      <w:pPr>
        <w:pStyle w:val="Institutionquiagit"/>
        <w:jc w:val="left"/>
        <w:rPr>
          <w:i/>
        </w:rPr>
      </w:pPr>
      <w:r w:rsidRPr="004B4229">
        <w:rPr>
          <w:i/>
          <w:lang w:val="en-GB"/>
        </w:rPr>
        <w:t>(</w:t>
      </w:r>
      <w:proofErr w:type="spellStart"/>
      <w:r w:rsidRPr="004B4229">
        <w:rPr>
          <w:i/>
          <w:lang w:val="en-GB"/>
        </w:rPr>
        <w:t>Šio</w:t>
      </w:r>
      <w:proofErr w:type="spellEnd"/>
      <w:r w:rsidRPr="004B4229">
        <w:rPr>
          <w:i/>
          <w:lang w:val="en-GB"/>
        </w:rPr>
        <w:t xml:space="preserve"> </w:t>
      </w:r>
      <w:proofErr w:type="spellStart"/>
      <w:r w:rsidRPr="004B4229">
        <w:rPr>
          <w:i/>
          <w:lang w:val="en-GB"/>
        </w:rPr>
        <w:t>priedo</w:t>
      </w:r>
      <w:proofErr w:type="spellEnd"/>
      <w:r w:rsidRPr="004B4229">
        <w:rPr>
          <w:i/>
          <w:lang w:val="en-GB"/>
        </w:rPr>
        <w:t xml:space="preserve"> </w:t>
      </w:r>
      <w:proofErr w:type="spellStart"/>
      <w:r w:rsidRPr="004B4229">
        <w:rPr>
          <w:i/>
          <w:lang w:val="en-GB"/>
        </w:rPr>
        <w:t>tekstas</w:t>
      </w:r>
      <w:proofErr w:type="spellEnd"/>
      <w:r w:rsidRPr="004B4229">
        <w:rPr>
          <w:i/>
          <w:lang w:val="en-GB"/>
        </w:rPr>
        <w:t xml:space="preserve"> </w:t>
      </w:r>
      <w:proofErr w:type="spellStart"/>
      <w:r w:rsidRPr="004B4229">
        <w:rPr>
          <w:i/>
          <w:lang w:val="en-GB"/>
        </w:rPr>
        <w:t>čia</w:t>
      </w:r>
      <w:proofErr w:type="spellEnd"/>
      <w:r w:rsidRPr="004B4229">
        <w:rPr>
          <w:i/>
          <w:lang w:val="en-GB"/>
        </w:rPr>
        <w:t xml:space="preserve"> </w:t>
      </w:r>
      <w:proofErr w:type="spellStart"/>
      <w:r w:rsidRPr="004B4229">
        <w:rPr>
          <w:i/>
          <w:lang w:val="en-GB"/>
        </w:rPr>
        <w:t>nepateikiamas</w:t>
      </w:r>
      <w:proofErr w:type="spellEnd"/>
      <w:r w:rsidRPr="004B4229">
        <w:rPr>
          <w:i/>
          <w:lang w:val="en-GB"/>
        </w:rPr>
        <w:t xml:space="preserve">, </w:t>
      </w:r>
      <w:proofErr w:type="spellStart"/>
      <w:r w:rsidRPr="004B4229">
        <w:rPr>
          <w:i/>
          <w:lang w:val="en-GB"/>
        </w:rPr>
        <w:t>nes</w:t>
      </w:r>
      <w:proofErr w:type="spellEnd"/>
      <w:r w:rsidRPr="004B4229">
        <w:rPr>
          <w:i/>
          <w:lang w:val="en-GB"/>
        </w:rPr>
        <w:t xml:space="preserve"> </w:t>
      </w:r>
      <w:proofErr w:type="spellStart"/>
      <w:r w:rsidRPr="004B4229">
        <w:rPr>
          <w:i/>
          <w:lang w:val="en-GB"/>
        </w:rPr>
        <w:t>jis</w:t>
      </w:r>
      <w:proofErr w:type="spellEnd"/>
      <w:r w:rsidRPr="004B4229">
        <w:rPr>
          <w:i/>
          <w:lang w:val="en-GB"/>
        </w:rPr>
        <w:t xml:space="preserve"> </w:t>
      </w:r>
      <w:proofErr w:type="spellStart"/>
      <w:r w:rsidRPr="004B4229">
        <w:rPr>
          <w:i/>
          <w:lang w:val="en-GB"/>
        </w:rPr>
        <w:t>atitinka</w:t>
      </w:r>
      <w:proofErr w:type="spellEnd"/>
      <w:r w:rsidRPr="004B4229">
        <w:rPr>
          <w:i/>
          <w:lang w:val="en-GB"/>
        </w:rPr>
        <w:t xml:space="preserve"> </w:t>
      </w:r>
      <w:proofErr w:type="spellStart"/>
      <w:r w:rsidRPr="004B4229">
        <w:rPr>
          <w:i/>
          <w:lang w:val="en-GB"/>
        </w:rPr>
        <w:t>galutinį</w:t>
      </w:r>
      <w:proofErr w:type="spellEnd"/>
      <w:r w:rsidRPr="004B4229">
        <w:rPr>
          <w:i/>
          <w:lang w:val="en-GB"/>
        </w:rPr>
        <w:t xml:space="preserve"> </w:t>
      </w:r>
      <w:proofErr w:type="spellStart"/>
      <w:r w:rsidRPr="004B4229">
        <w:rPr>
          <w:i/>
          <w:lang w:val="en-GB"/>
        </w:rPr>
        <w:t>aktą</w:t>
      </w:r>
      <w:proofErr w:type="spellEnd"/>
      <w:r w:rsidRPr="004B4229">
        <w:rPr>
          <w:i/>
          <w:lang w:val="en-GB"/>
        </w:rPr>
        <w:t xml:space="preserve"> – </w:t>
      </w:r>
      <w:proofErr w:type="spellStart"/>
      <w:r w:rsidRPr="004B4229">
        <w:rPr>
          <w:i/>
          <w:lang w:val="en-GB"/>
        </w:rPr>
        <w:t>Sprendimą</w:t>
      </w:r>
      <w:proofErr w:type="spellEnd"/>
      <w:r w:rsidRPr="004B4229">
        <w:rPr>
          <w:i/>
          <w:lang w:val="en-GB"/>
        </w:rPr>
        <w:t xml:space="preserve"> (ES) 20</w:t>
      </w:r>
      <w:r w:rsidR="00EC3C26">
        <w:rPr>
          <w:i/>
          <w:lang w:val="en-GB"/>
        </w:rPr>
        <w:t>26</w:t>
      </w:r>
      <w:r w:rsidRPr="004B4229">
        <w:rPr>
          <w:i/>
          <w:lang w:val="en-GB"/>
        </w:rPr>
        <w:t>/</w:t>
      </w:r>
      <w:r w:rsidR="00EC3C26">
        <w:rPr>
          <w:i/>
          <w:lang w:val="en-GB"/>
        </w:rPr>
        <w:t>851</w:t>
      </w:r>
      <w:r w:rsidRPr="004B4229">
        <w:rPr>
          <w:i/>
          <w:lang w:val="en-GB"/>
        </w:rPr>
        <w:t>.)</w:t>
      </w:r>
    </w:p>
    <w:sectPr w:rsidR="00E365E1" w:rsidRPr="00C76745" w:rsidSect="00B62ADA">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E8C7A" w14:textId="77777777" w:rsidR="00836BD9" w:rsidRPr="00B62ADA" w:rsidRDefault="00836BD9">
      <w:r w:rsidRPr="00B62ADA">
        <w:separator/>
      </w:r>
    </w:p>
  </w:endnote>
  <w:endnote w:type="continuationSeparator" w:id="0">
    <w:p w14:paraId="0A9D98B5" w14:textId="77777777" w:rsidR="00836BD9" w:rsidRPr="00B62ADA" w:rsidRDefault="00836BD9">
      <w:r w:rsidRPr="00B62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9236E" w14:textId="77777777" w:rsidR="00112FBE" w:rsidRPr="00B62ADA" w:rsidRDefault="00112FBE" w:rsidP="007F2673">
    <w:pPr>
      <w:pStyle w:val="EPFooter"/>
    </w:pPr>
    <w:r w:rsidRPr="00B62ADA">
      <w:t>PE</w:t>
    </w:r>
    <w:r w:rsidRPr="00B62ADA">
      <w:rPr>
        <w:rStyle w:val="HideTWBExt"/>
      </w:rPr>
      <w:t>&lt;NoPE&gt;</w:t>
    </w:r>
    <w:r w:rsidRPr="00B62ADA">
      <w:t>784.477</w:t>
    </w:r>
    <w:r w:rsidRPr="00B62ADA">
      <w:rPr>
        <w:rStyle w:val="HideTWBExt"/>
      </w:rPr>
      <w:t>&lt;/NoPE&gt;&lt;Version&gt;</w:t>
    </w:r>
    <w:r w:rsidRPr="00B62ADA">
      <w:t>v02-00</w:t>
    </w:r>
    <w:r w:rsidRPr="00B62ADA">
      <w:rPr>
        <w:rStyle w:val="HideTWBExt"/>
      </w:rPr>
      <w:t>&lt;/Version&gt;</w:t>
    </w:r>
    <w:r w:rsidRPr="00B62ADA">
      <w:tab/>
    </w:r>
    <w:r w:rsidRPr="00B62ADA">
      <w:fldChar w:fldCharType="begin"/>
    </w:r>
    <w:r w:rsidRPr="00B62ADA">
      <w:instrText xml:space="preserve"> PAGE  \* MERGEFORMAT </w:instrText>
    </w:r>
    <w:r w:rsidRPr="00B62ADA">
      <w:fldChar w:fldCharType="separate"/>
    </w:r>
    <w:r w:rsidRPr="00B62ADA">
      <w:rPr>
        <w:noProof/>
      </w:rPr>
      <w:t>10</w:t>
    </w:r>
    <w:r w:rsidRPr="00B62ADA">
      <w:fldChar w:fldCharType="end"/>
    </w:r>
    <w:r w:rsidRPr="00B62ADA">
      <w:t>/</w:t>
    </w:r>
    <w:fldSimple w:instr=" NUMPAGES  \* MERGEFORMAT ">
      <w:r w:rsidRPr="00B62ADA">
        <w:rPr>
          <w:noProof/>
        </w:rPr>
        <w:t>20</w:t>
      </w:r>
    </w:fldSimple>
    <w:r w:rsidRPr="00B62ADA">
      <w:tab/>
    </w:r>
    <w:r w:rsidRPr="00B62ADA">
      <w:rPr>
        <w:rStyle w:val="HideTWBExt"/>
      </w:rPr>
      <w:t>&lt;PathFdR&gt;</w:t>
    </w:r>
    <w:r w:rsidRPr="00B62ADA">
      <w:t>RR\1339712LT.docx</w:t>
    </w:r>
    <w:r w:rsidRPr="00B62ADA">
      <w:rPr>
        <w:rStyle w:val="HideTWBExt"/>
      </w:rPr>
      <w:t>&lt;/PathFdR&gt;</w:t>
    </w:r>
  </w:p>
  <w:p w14:paraId="2EC125AD" w14:textId="77777777" w:rsidR="00112FBE" w:rsidRPr="00B62ADA" w:rsidRDefault="00112FBE" w:rsidP="007F2673">
    <w:pPr>
      <w:pStyle w:val="EPFooter2"/>
    </w:pPr>
    <w:r w:rsidRPr="00B62ADA">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27FD9" w14:textId="77777777" w:rsidR="00112FBE" w:rsidRPr="00B62ADA" w:rsidRDefault="00112FBE" w:rsidP="007F2673">
    <w:pPr>
      <w:pStyle w:val="EPFooter"/>
    </w:pPr>
    <w:r w:rsidRPr="00B62ADA">
      <w:rPr>
        <w:rStyle w:val="HideTWBExt"/>
      </w:rPr>
      <w:t>&lt;PathFdR&gt;</w:t>
    </w:r>
    <w:r w:rsidRPr="00B62ADA">
      <w:t>RR\1339712LT.docx</w:t>
    </w:r>
    <w:r w:rsidRPr="00B62ADA">
      <w:rPr>
        <w:rStyle w:val="HideTWBExt"/>
      </w:rPr>
      <w:t>&lt;/PathFdR&gt;</w:t>
    </w:r>
    <w:r w:rsidRPr="00B62ADA">
      <w:tab/>
    </w:r>
    <w:r w:rsidRPr="00B62ADA">
      <w:tab/>
      <w:t>PE</w:t>
    </w:r>
    <w:r w:rsidRPr="00B62ADA">
      <w:rPr>
        <w:rStyle w:val="HideTWBExt"/>
      </w:rPr>
      <w:t>&lt;NoPE&gt;</w:t>
    </w:r>
    <w:r w:rsidRPr="00B62ADA">
      <w:t>784.477</w:t>
    </w:r>
    <w:r w:rsidRPr="00B62ADA">
      <w:rPr>
        <w:rStyle w:val="HideTWBExt"/>
      </w:rPr>
      <w:t>&lt;/NoPE&gt;&lt;Version&gt;</w:t>
    </w:r>
    <w:r w:rsidRPr="00B62ADA">
      <w:t>v02-00</w:t>
    </w:r>
    <w:r w:rsidRPr="00B62ADA">
      <w:rPr>
        <w:rStyle w:val="HideTWBExt"/>
      </w:rPr>
      <w:t>&lt;/Version&gt;</w:t>
    </w:r>
  </w:p>
  <w:p w14:paraId="620F7B27" w14:textId="77777777" w:rsidR="00112FBE" w:rsidRPr="00B62ADA" w:rsidRDefault="00112FBE" w:rsidP="007F2673">
    <w:pPr>
      <w:pStyle w:val="EPFooter2"/>
    </w:pPr>
    <w:r w:rsidRPr="00B62ADA">
      <w:t>LT</w:t>
    </w:r>
    <w:r w:rsidRPr="00B62ADA">
      <w:tab/>
    </w:r>
    <w:r w:rsidRPr="00B62ADA">
      <w:rPr>
        <w:b w:val="0"/>
        <w:i/>
        <w:color w:val="C0C0C0"/>
        <w:sz w:val="22"/>
      </w:rPr>
      <w:t>Suvienijusi įvairovę</w:t>
    </w:r>
    <w:r w:rsidRPr="00B62ADA">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2684E" w14:textId="77777777" w:rsidR="00064002" w:rsidRPr="00B62AD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EC50" w14:textId="77777777" w:rsidR="00064002" w:rsidRPr="00B62AD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87111" w14:textId="77777777" w:rsidR="00064002" w:rsidRPr="00B62A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8F9B1" w14:textId="77777777" w:rsidR="00836BD9" w:rsidRPr="00B62ADA" w:rsidRDefault="00836BD9">
      <w:r w:rsidRPr="00B62ADA">
        <w:separator/>
      </w:r>
    </w:p>
  </w:footnote>
  <w:footnote w:type="continuationSeparator" w:id="0">
    <w:p w14:paraId="2CC27A9D" w14:textId="77777777" w:rsidR="00836BD9" w:rsidRPr="00B62ADA" w:rsidRDefault="00836BD9">
      <w:r w:rsidRPr="00B62ADA">
        <w:continuationSeparator/>
      </w:r>
    </w:p>
  </w:footnote>
  <w:footnote w:id="1">
    <w:p w14:paraId="119E12C3" w14:textId="4FA0541F" w:rsidR="00112FBE" w:rsidRPr="00B62ADA" w:rsidRDefault="00112FBE" w:rsidP="00B62ADA">
      <w:pPr>
        <w:pStyle w:val="FootnoteText"/>
        <w:ind w:left="567" w:hanging="567"/>
        <w:rPr>
          <w:sz w:val="24"/>
          <w:lang w:val="lt-LT"/>
        </w:rPr>
      </w:pPr>
      <w:r w:rsidRPr="00B62ADA">
        <w:rPr>
          <w:rStyle w:val="FootnoteReference"/>
          <w:sz w:val="24"/>
          <w:lang w:val="lt-LT"/>
        </w:rPr>
        <w:footnoteRef/>
      </w:r>
      <w:r w:rsidR="00B62ADA" w:rsidRPr="00B62ADA">
        <w:rPr>
          <w:sz w:val="24"/>
          <w:lang w:val="lt-LT"/>
        </w:rPr>
        <w:t xml:space="preserve"> </w:t>
      </w:r>
      <w:r w:rsidR="00B62ADA" w:rsidRPr="00B62ADA">
        <w:rPr>
          <w:sz w:val="24"/>
          <w:lang w:val="lt-LT"/>
        </w:rPr>
        <w:tab/>
      </w:r>
      <w:r w:rsidRPr="00B62ADA">
        <w:rPr>
          <w:sz w:val="24"/>
          <w:lang w:val="lt-LT"/>
        </w:rPr>
        <w:t>OL L </w:t>
      </w:r>
      <w:r w:rsidR="00B37AD7" w:rsidRPr="00B37AD7">
        <w:rPr>
          <w:sz w:val="24"/>
          <w:lang w:val="lt-LT"/>
        </w:rPr>
        <w:t>153</w:t>
      </w:r>
      <w:r w:rsidRPr="00B62ADA">
        <w:rPr>
          <w:sz w:val="24"/>
          <w:lang w:val="lt-LT"/>
        </w:rPr>
        <w:t xml:space="preserve">, </w:t>
      </w:r>
      <w:r w:rsidR="00B37AD7" w:rsidRPr="00B37AD7">
        <w:rPr>
          <w:sz w:val="24"/>
          <w:lang w:val="lt-LT"/>
        </w:rPr>
        <w:t>2021</w:t>
      </w:r>
      <w:r w:rsidRPr="00B62ADA">
        <w:rPr>
          <w:sz w:val="24"/>
          <w:lang w:val="lt-LT"/>
        </w:rPr>
        <w:t> </w:t>
      </w:r>
      <w:r w:rsidR="00B37AD7" w:rsidRPr="00B37AD7">
        <w:rPr>
          <w:sz w:val="24"/>
          <w:lang w:val="lt-LT"/>
        </w:rPr>
        <w:t>5</w:t>
      </w:r>
      <w:r w:rsidRPr="00B62ADA">
        <w:rPr>
          <w:sz w:val="24"/>
          <w:lang w:val="lt-LT"/>
        </w:rPr>
        <w:t> </w:t>
      </w:r>
      <w:r w:rsidR="00B37AD7" w:rsidRPr="00B37AD7">
        <w:rPr>
          <w:sz w:val="24"/>
          <w:lang w:val="lt-LT"/>
        </w:rPr>
        <w:t>3</w:t>
      </w:r>
      <w:r w:rsidRPr="00B62ADA">
        <w:rPr>
          <w:sz w:val="24"/>
          <w:lang w:val="lt-LT"/>
        </w:rPr>
        <w:t>, p. </w:t>
      </w:r>
      <w:r w:rsidR="00B37AD7" w:rsidRPr="00B37AD7">
        <w:rPr>
          <w:sz w:val="24"/>
          <w:lang w:val="lt-LT"/>
        </w:rPr>
        <w:t>48</w:t>
      </w:r>
      <w:r w:rsidRPr="00B62ADA">
        <w:rPr>
          <w:sz w:val="24"/>
          <w:lang w:val="lt-LT"/>
        </w:rPr>
        <w:t xml:space="preserve">, ELI: </w:t>
      </w:r>
      <w:hyperlink r:id="rId1" w:history="1">
        <w:r w:rsidRPr="00B62ADA">
          <w:rPr>
            <w:rStyle w:val="Hyperlink"/>
            <w:sz w:val="24"/>
            <w:lang w:val="lt-LT"/>
          </w:rPr>
          <w:t>http://data.europa.eu/eli/reg/</w:t>
        </w:r>
        <w:r w:rsidR="00B37AD7" w:rsidRPr="00B37AD7">
          <w:rPr>
            <w:rStyle w:val="Hyperlink"/>
            <w:sz w:val="24"/>
            <w:lang w:val="lt-LT"/>
          </w:rPr>
          <w:t>2021</w:t>
        </w:r>
        <w:r w:rsidRPr="00B62ADA">
          <w:rPr>
            <w:rStyle w:val="Hyperlink"/>
            <w:sz w:val="24"/>
            <w:lang w:val="lt-LT"/>
          </w:rPr>
          <w:t>/</w:t>
        </w:r>
        <w:r w:rsidR="00B37AD7" w:rsidRPr="00B37AD7">
          <w:rPr>
            <w:rStyle w:val="Hyperlink"/>
            <w:sz w:val="24"/>
            <w:lang w:val="lt-LT"/>
          </w:rPr>
          <w:t>691</w:t>
        </w:r>
        <w:r w:rsidRPr="00B62ADA">
          <w:rPr>
            <w:rStyle w:val="Hyperlink"/>
            <w:sz w:val="24"/>
            <w:lang w:val="lt-LT"/>
          </w:rPr>
          <w:t>/oj</w:t>
        </w:r>
      </w:hyperlink>
      <w:r w:rsidRPr="00B62ADA">
        <w:rPr>
          <w:sz w:val="24"/>
          <w:lang w:val="lt-LT"/>
        </w:rPr>
        <w:t>.</w:t>
      </w:r>
    </w:p>
  </w:footnote>
  <w:footnote w:id="2">
    <w:p w14:paraId="784277E3" w14:textId="0F8CD383" w:rsidR="00112FBE" w:rsidRPr="00B62ADA" w:rsidRDefault="00112FBE" w:rsidP="00B62ADA">
      <w:pPr>
        <w:pStyle w:val="FootnoteText"/>
        <w:ind w:left="567" w:hanging="567"/>
        <w:rPr>
          <w:sz w:val="24"/>
          <w:lang w:val="lt-LT"/>
        </w:rPr>
      </w:pPr>
      <w:r w:rsidRPr="00B62ADA">
        <w:rPr>
          <w:rStyle w:val="FootnoteReference"/>
          <w:sz w:val="24"/>
          <w:lang w:val="lt-LT"/>
        </w:rPr>
        <w:footnoteRef/>
      </w:r>
      <w:r w:rsidR="00B62ADA" w:rsidRPr="00B62ADA">
        <w:rPr>
          <w:sz w:val="24"/>
          <w:lang w:val="lt-LT"/>
        </w:rPr>
        <w:t xml:space="preserve"> </w:t>
      </w:r>
      <w:r w:rsidR="00B62ADA" w:rsidRPr="00B62ADA">
        <w:rPr>
          <w:sz w:val="24"/>
          <w:lang w:val="lt-LT"/>
        </w:rPr>
        <w:tab/>
      </w:r>
      <w:r w:rsidRPr="00B62ADA">
        <w:rPr>
          <w:sz w:val="24"/>
          <w:lang w:val="lt-LT"/>
        </w:rPr>
        <w:t>OL L </w:t>
      </w:r>
      <w:r w:rsidR="00B37AD7" w:rsidRPr="00B37AD7">
        <w:rPr>
          <w:sz w:val="24"/>
          <w:lang w:val="lt-LT"/>
        </w:rPr>
        <w:t>433</w:t>
      </w:r>
      <w:r w:rsidRPr="00B62ADA">
        <w:rPr>
          <w:sz w:val="24"/>
          <w:lang w:val="lt-LT"/>
        </w:rPr>
        <w:t xml:space="preserve"> I, </w:t>
      </w:r>
      <w:r w:rsidR="00B37AD7" w:rsidRPr="00B37AD7">
        <w:rPr>
          <w:sz w:val="24"/>
          <w:lang w:val="lt-LT"/>
        </w:rPr>
        <w:t>2020</w:t>
      </w:r>
      <w:r w:rsidRPr="00B62ADA">
        <w:rPr>
          <w:sz w:val="24"/>
          <w:lang w:val="lt-LT"/>
        </w:rPr>
        <w:t> </w:t>
      </w:r>
      <w:r w:rsidR="00B37AD7" w:rsidRPr="00B37AD7">
        <w:rPr>
          <w:sz w:val="24"/>
          <w:lang w:val="lt-LT"/>
        </w:rPr>
        <w:t>12</w:t>
      </w:r>
      <w:r w:rsidRPr="00B62ADA">
        <w:rPr>
          <w:sz w:val="24"/>
          <w:lang w:val="lt-LT"/>
        </w:rPr>
        <w:t> </w:t>
      </w:r>
      <w:r w:rsidR="00B37AD7" w:rsidRPr="00B37AD7">
        <w:rPr>
          <w:sz w:val="24"/>
          <w:lang w:val="lt-LT"/>
        </w:rPr>
        <w:t>22</w:t>
      </w:r>
      <w:r w:rsidRPr="00B62ADA">
        <w:rPr>
          <w:sz w:val="24"/>
          <w:lang w:val="lt-LT"/>
        </w:rPr>
        <w:t>, p. </w:t>
      </w:r>
      <w:r w:rsidR="00B37AD7" w:rsidRPr="00B37AD7">
        <w:rPr>
          <w:sz w:val="24"/>
          <w:lang w:val="lt-LT"/>
        </w:rPr>
        <w:t>11</w:t>
      </w:r>
      <w:r w:rsidRPr="00B62ADA">
        <w:rPr>
          <w:sz w:val="24"/>
          <w:lang w:val="lt-LT"/>
        </w:rPr>
        <w:t xml:space="preserve">, ELI: </w:t>
      </w:r>
      <w:hyperlink r:id="rId2" w:history="1">
        <w:r w:rsidRPr="00B62ADA">
          <w:rPr>
            <w:rStyle w:val="Hyperlink"/>
            <w:sz w:val="24"/>
            <w:lang w:val="lt-LT"/>
          </w:rPr>
          <w:t>http://data.europa.eu/eli/reg/</w:t>
        </w:r>
        <w:r w:rsidR="00B37AD7" w:rsidRPr="00B37AD7">
          <w:rPr>
            <w:rStyle w:val="Hyperlink"/>
            <w:sz w:val="24"/>
            <w:lang w:val="lt-LT"/>
          </w:rPr>
          <w:t>2020</w:t>
        </w:r>
        <w:r w:rsidRPr="00B62ADA">
          <w:rPr>
            <w:rStyle w:val="Hyperlink"/>
            <w:sz w:val="24"/>
            <w:lang w:val="lt-LT"/>
          </w:rPr>
          <w:t>/</w:t>
        </w:r>
        <w:r w:rsidR="00B37AD7" w:rsidRPr="00B37AD7">
          <w:rPr>
            <w:rStyle w:val="Hyperlink"/>
            <w:sz w:val="24"/>
            <w:lang w:val="lt-LT"/>
          </w:rPr>
          <w:t>2093</w:t>
        </w:r>
        <w:r w:rsidRPr="00B62ADA">
          <w:rPr>
            <w:rStyle w:val="Hyperlink"/>
            <w:sz w:val="24"/>
            <w:lang w:val="lt-LT"/>
          </w:rPr>
          <w:t>/oj</w:t>
        </w:r>
      </w:hyperlink>
      <w:r w:rsidRPr="00B62ADA">
        <w:rPr>
          <w:sz w:val="24"/>
          <w:lang w:val="lt-LT"/>
        </w:rPr>
        <w:t>.</w:t>
      </w:r>
    </w:p>
  </w:footnote>
  <w:footnote w:id="3">
    <w:p w14:paraId="28FE3062" w14:textId="3DFB5A2B" w:rsidR="00112FBE" w:rsidRPr="00B62ADA" w:rsidRDefault="00112FBE" w:rsidP="00B62ADA">
      <w:pPr>
        <w:pStyle w:val="FootnoteText"/>
        <w:ind w:left="567" w:hanging="567"/>
        <w:rPr>
          <w:sz w:val="24"/>
          <w:lang w:val="lt-LT"/>
        </w:rPr>
      </w:pPr>
      <w:r w:rsidRPr="00B62ADA">
        <w:rPr>
          <w:rStyle w:val="FootnoteReference"/>
          <w:sz w:val="24"/>
          <w:lang w:val="lt-LT"/>
        </w:rPr>
        <w:footnoteRef/>
      </w:r>
      <w:r w:rsidR="00B62ADA" w:rsidRPr="00B62ADA">
        <w:rPr>
          <w:sz w:val="24"/>
          <w:shd w:val="clear" w:color="auto" w:fill="FFFFFF"/>
          <w:lang w:val="lt-LT"/>
        </w:rPr>
        <w:t xml:space="preserve"> </w:t>
      </w:r>
      <w:r w:rsidR="00B62ADA" w:rsidRPr="00B62ADA">
        <w:rPr>
          <w:sz w:val="24"/>
          <w:shd w:val="clear" w:color="auto" w:fill="FFFFFF"/>
          <w:lang w:val="lt-LT"/>
        </w:rPr>
        <w:tab/>
      </w:r>
      <w:r w:rsidR="00B37AD7" w:rsidRPr="00B37AD7">
        <w:rPr>
          <w:sz w:val="24"/>
          <w:shd w:val="clear" w:color="auto" w:fill="FFFFFF"/>
          <w:lang w:val="lt-LT"/>
        </w:rPr>
        <w:t>2024</w:t>
      </w:r>
      <w:r w:rsidRPr="00B62ADA">
        <w:rPr>
          <w:sz w:val="24"/>
          <w:shd w:val="clear" w:color="auto" w:fill="FFFFFF"/>
          <w:lang w:val="lt-LT"/>
        </w:rPr>
        <w:t xml:space="preserve"> m. vasario </w:t>
      </w:r>
      <w:r w:rsidR="00B37AD7" w:rsidRPr="00B37AD7">
        <w:rPr>
          <w:sz w:val="24"/>
          <w:shd w:val="clear" w:color="auto" w:fill="FFFFFF"/>
          <w:lang w:val="lt-LT"/>
        </w:rPr>
        <w:t>29</w:t>
      </w:r>
      <w:r w:rsidRPr="00B62ADA">
        <w:rPr>
          <w:sz w:val="24"/>
          <w:shd w:val="clear" w:color="auto" w:fill="FFFFFF"/>
          <w:lang w:val="lt-LT"/>
        </w:rPr>
        <w:t xml:space="preserve"> d. Tarybos reglamentas (ES, Euratomas) </w:t>
      </w:r>
      <w:r w:rsidR="00B37AD7" w:rsidRPr="00B37AD7">
        <w:rPr>
          <w:sz w:val="24"/>
          <w:shd w:val="clear" w:color="auto" w:fill="FFFFFF"/>
          <w:lang w:val="lt-LT"/>
        </w:rPr>
        <w:t>2024</w:t>
      </w:r>
      <w:r w:rsidRPr="00B62ADA">
        <w:rPr>
          <w:sz w:val="24"/>
          <w:shd w:val="clear" w:color="auto" w:fill="FFFFFF"/>
          <w:lang w:val="lt-LT"/>
        </w:rPr>
        <w:t>/</w:t>
      </w:r>
      <w:r w:rsidR="00B37AD7" w:rsidRPr="00B37AD7">
        <w:rPr>
          <w:sz w:val="24"/>
          <w:shd w:val="clear" w:color="auto" w:fill="FFFFFF"/>
          <w:lang w:val="lt-LT"/>
        </w:rPr>
        <w:t>765</w:t>
      </w:r>
      <w:r w:rsidRPr="00B62ADA">
        <w:rPr>
          <w:sz w:val="24"/>
          <w:shd w:val="clear" w:color="auto" w:fill="FFFFFF"/>
          <w:lang w:val="lt-LT"/>
        </w:rPr>
        <w:t xml:space="preserve">, kuriuo iš dalies keičiamas Reglamentas (ES, Euratomas) </w:t>
      </w:r>
      <w:r w:rsidR="00B37AD7" w:rsidRPr="00B37AD7">
        <w:rPr>
          <w:sz w:val="24"/>
          <w:shd w:val="clear" w:color="auto" w:fill="FFFFFF"/>
          <w:lang w:val="lt-LT"/>
        </w:rPr>
        <w:t>2020</w:t>
      </w:r>
      <w:r w:rsidRPr="00B62ADA">
        <w:rPr>
          <w:sz w:val="24"/>
          <w:shd w:val="clear" w:color="auto" w:fill="FFFFFF"/>
          <w:lang w:val="lt-LT"/>
        </w:rPr>
        <w:t>/</w:t>
      </w:r>
      <w:r w:rsidR="00B37AD7" w:rsidRPr="00B37AD7">
        <w:rPr>
          <w:sz w:val="24"/>
          <w:shd w:val="clear" w:color="auto" w:fill="FFFFFF"/>
          <w:lang w:val="lt-LT"/>
        </w:rPr>
        <w:t>2093</w:t>
      </w:r>
      <w:r w:rsidRPr="00B62ADA">
        <w:rPr>
          <w:sz w:val="24"/>
          <w:shd w:val="clear" w:color="auto" w:fill="FFFFFF"/>
          <w:lang w:val="lt-LT"/>
        </w:rPr>
        <w:t xml:space="preserve">, kuriuo nustatoma </w:t>
      </w:r>
      <w:r w:rsidR="00B37AD7" w:rsidRPr="00B37AD7">
        <w:rPr>
          <w:sz w:val="24"/>
          <w:shd w:val="clear" w:color="auto" w:fill="FFFFFF"/>
          <w:lang w:val="lt-LT"/>
        </w:rPr>
        <w:t>2021</w:t>
      </w:r>
      <w:r w:rsidRPr="00B62ADA">
        <w:rPr>
          <w:sz w:val="24"/>
          <w:shd w:val="clear" w:color="auto" w:fill="FFFFFF"/>
          <w:lang w:val="lt-LT"/>
        </w:rPr>
        <w:t>–</w:t>
      </w:r>
      <w:r w:rsidR="00B37AD7" w:rsidRPr="00B37AD7">
        <w:rPr>
          <w:sz w:val="24"/>
          <w:shd w:val="clear" w:color="auto" w:fill="FFFFFF"/>
          <w:lang w:val="lt-LT"/>
        </w:rPr>
        <w:t>2027</w:t>
      </w:r>
      <w:r w:rsidRPr="00B62ADA">
        <w:rPr>
          <w:sz w:val="24"/>
          <w:shd w:val="clear" w:color="auto" w:fill="FFFFFF"/>
          <w:lang w:val="lt-LT"/>
        </w:rPr>
        <w:t xml:space="preserve"> m. daugiametė finansinė programa (OL L, </w:t>
      </w:r>
      <w:r w:rsidR="00B37AD7" w:rsidRPr="00B37AD7">
        <w:rPr>
          <w:sz w:val="24"/>
          <w:shd w:val="clear" w:color="auto" w:fill="FFFFFF"/>
          <w:lang w:val="lt-LT"/>
        </w:rPr>
        <w:t>2024</w:t>
      </w:r>
      <w:r w:rsidRPr="00B62ADA">
        <w:rPr>
          <w:sz w:val="24"/>
          <w:shd w:val="clear" w:color="auto" w:fill="FFFFFF"/>
          <w:lang w:val="lt-LT"/>
        </w:rPr>
        <w:t>/</w:t>
      </w:r>
      <w:r w:rsidR="00B37AD7" w:rsidRPr="00B37AD7">
        <w:rPr>
          <w:sz w:val="24"/>
          <w:shd w:val="clear" w:color="auto" w:fill="FFFFFF"/>
          <w:lang w:val="lt-LT"/>
        </w:rPr>
        <w:t>765</w:t>
      </w:r>
      <w:r w:rsidRPr="00B62ADA">
        <w:rPr>
          <w:sz w:val="24"/>
          <w:shd w:val="clear" w:color="auto" w:fill="FFFFFF"/>
          <w:lang w:val="lt-LT"/>
        </w:rPr>
        <w:t xml:space="preserve">, </w:t>
      </w:r>
      <w:r w:rsidR="00B37AD7" w:rsidRPr="00B37AD7">
        <w:rPr>
          <w:sz w:val="24"/>
          <w:shd w:val="clear" w:color="auto" w:fill="FFFFFF"/>
          <w:lang w:val="lt-LT"/>
        </w:rPr>
        <w:t>2024</w:t>
      </w:r>
      <w:r w:rsidRPr="00B62ADA">
        <w:rPr>
          <w:sz w:val="24"/>
          <w:shd w:val="clear" w:color="auto" w:fill="FFFFFF"/>
          <w:lang w:val="lt-LT"/>
        </w:rPr>
        <w:t> </w:t>
      </w:r>
      <w:r w:rsidR="00B37AD7" w:rsidRPr="00B37AD7">
        <w:rPr>
          <w:sz w:val="24"/>
          <w:shd w:val="clear" w:color="auto" w:fill="FFFFFF"/>
          <w:lang w:val="lt-LT"/>
        </w:rPr>
        <w:t>2</w:t>
      </w:r>
      <w:r w:rsidRPr="00B62ADA">
        <w:rPr>
          <w:sz w:val="24"/>
          <w:shd w:val="clear" w:color="auto" w:fill="FFFFFF"/>
          <w:lang w:val="lt-LT"/>
        </w:rPr>
        <w:t> </w:t>
      </w:r>
      <w:r w:rsidR="00B37AD7" w:rsidRPr="00B37AD7">
        <w:rPr>
          <w:sz w:val="24"/>
          <w:shd w:val="clear" w:color="auto" w:fill="FFFFFF"/>
          <w:lang w:val="lt-LT"/>
        </w:rPr>
        <w:t>29</w:t>
      </w:r>
      <w:r w:rsidRPr="00B62ADA">
        <w:rPr>
          <w:sz w:val="24"/>
          <w:shd w:val="clear" w:color="auto" w:fill="FFFFFF"/>
          <w:lang w:val="lt-LT"/>
        </w:rPr>
        <w:t xml:space="preserve">, ELI: </w:t>
      </w:r>
      <w:hyperlink r:id="rId3" w:history="1">
        <w:r w:rsidRPr="00B62ADA">
          <w:rPr>
            <w:rStyle w:val="Hyperlink"/>
            <w:sz w:val="24"/>
            <w:shd w:val="clear" w:color="auto" w:fill="FFFFFF"/>
            <w:lang w:val="lt-LT"/>
          </w:rPr>
          <w:t>http://data.europa.eu/eli/reg/</w:t>
        </w:r>
        <w:r w:rsidR="00B37AD7" w:rsidRPr="00B37AD7">
          <w:rPr>
            <w:rStyle w:val="Hyperlink"/>
            <w:sz w:val="24"/>
            <w:shd w:val="clear" w:color="auto" w:fill="FFFFFF"/>
            <w:lang w:val="lt-LT"/>
          </w:rPr>
          <w:t>2024</w:t>
        </w:r>
        <w:r w:rsidRPr="00B62ADA">
          <w:rPr>
            <w:rStyle w:val="Hyperlink"/>
            <w:sz w:val="24"/>
            <w:shd w:val="clear" w:color="auto" w:fill="FFFFFF"/>
            <w:lang w:val="lt-LT"/>
          </w:rPr>
          <w:t>/</w:t>
        </w:r>
        <w:r w:rsidR="00B37AD7" w:rsidRPr="00B37AD7">
          <w:rPr>
            <w:rStyle w:val="Hyperlink"/>
            <w:sz w:val="24"/>
            <w:shd w:val="clear" w:color="auto" w:fill="FFFFFF"/>
            <w:lang w:val="lt-LT"/>
          </w:rPr>
          <w:t>765</w:t>
        </w:r>
        <w:r w:rsidRPr="00B62ADA">
          <w:rPr>
            <w:rStyle w:val="Hyperlink"/>
            <w:sz w:val="24"/>
            <w:shd w:val="clear" w:color="auto" w:fill="FFFFFF"/>
            <w:lang w:val="lt-LT"/>
          </w:rPr>
          <w:t>/oj</w:t>
        </w:r>
      </w:hyperlink>
      <w:r w:rsidRPr="001E2947">
        <w:rPr>
          <w:lang w:val="lt-LT"/>
        </w:rPr>
        <w:t>)</w:t>
      </w:r>
      <w:r w:rsidRPr="00B62ADA">
        <w:rPr>
          <w:i/>
          <w:color w:val="333333"/>
          <w:sz w:val="24"/>
          <w:shd w:val="clear" w:color="auto" w:fill="FFFFFF"/>
          <w:lang w:val="lt-LT"/>
        </w:rPr>
        <w:t>.</w:t>
      </w:r>
    </w:p>
  </w:footnote>
  <w:footnote w:id="4">
    <w:p w14:paraId="3A92EF40" w14:textId="54CFED08" w:rsidR="00112FBE" w:rsidRPr="00B62ADA" w:rsidRDefault="00112FBE" w:rsidP="00B62ADA">
      <w:pPr>
        <w:pStyle w:val="FootnoteText"/>
        <w:ind w:left="567" w:hanging="567"/>
        <w:rPr>
          <w:sz w:val="24"/>
          <w:lang w:val="lt-LT"/>
        </w:rPr>
      </w:pPr>
      <w:r w:rsidRPr="00B62ADA">
        <w:rPr>
          <w:rStyle w:val="FootnoteReference"/>
          <w:sz w:val="24"/>
          <w:lang w:val="lt-LT"/>
        </w:rPr>
        <w:footnoteRef/>
      </w:r>
      <w:r w:rsidR="00B62ADA" w:rsidRPr="00B62ADA">
        <w:rPr>
          <w:sz w:val="24"/>
          <w:lang w:val="lt-LT"/>
        </w:rPr>
        <w:t xml:space="preserve"> </w:t>
      </w:r>
      <w:r w:rsidR="00B62ADA" w:rsidRPr="00B62ADA">
        <w:rPr>
          <w:sz w:val="24"/>
          <w:lang w:val="lt-LT"/>
        </w:rPr>
        <w:tab/>
      </w:r>
      <w:r w:rsidRPr="00B62ADA">
        <w:rPr>
          <w:sz w:val="24"/>
          <w:lang w:val="lt-LT"/>
        </w:rPr>
        <w:t>OL L </w:t>
      </w:r>
      <w:r w:rsidR="00B37AD7" w:rsidRPr="00B37AD7">
        <w:rPr>
          <w:sz w:val="24"/>
          <w:lang w:val="lt-LT"/>
        </w:rPr>
        <w:t>433</w:t>
      </w:r>
      <w:r w:rsidRPr="00B62ADA">
        <w:rPr>
          <w:sz w:val="24"/>
          <w:lang w:val="lt-LT"/>
        </w:rPr>
        <w:t xml:space="preserve"> I, </w:t>
      </w:r>
      <w:r w:rsidR="00B37AD7" w:rsidRPr="00B37AD7">
        <w:rPr>
          <w:sz w:val="24"/>
          <w:lang w:val="lt-LT"/>
        </w:rPr>
        <w:t>2020</w:t>
      </w:r>
      <w:r w:rsidRPr="00B62ADA">
        <w:rPr>
          <w:sz w:val="24"/>
          <w:lang w:val="lt-LT"/>
        </w:rPr>
        <w:t> </w:t>
      </w:r>
      <w:r w:rsidR="00B37AD7" w:rsidRPr="00B37AD7">
        <w:rPr>
          <w:sz w:val="24"/>
          <w:lang w:val="lt-LT"/>
        </w:rPr>
        <w:t>12</w:t>
      </w:r>
      <w:r w:rsidRPr="00B62ADA">
        <w:rPr>
          <w:sz w:val="24"/>
          <w:lang w:val="lt-LT"/>
        </w:rPr>
        <w:t> </w:t>
      </w:r>
      <w:r w:rsidR="00B37AD7" w:rsidRPr="00B37AD7">
        <w:rPr>
          <w:sz w:val="24"/>
          <w:lang w:val="lt-LT"/>
        </w:rPr>
        <w:t>22</w:t>
      </w:r>
      <w:r w:rsidRPr="00B62ADA">
        <w:rPr>
          <w:sz w:val="24"/>
          <w:lang w:val="lt-LT"/>
        </w:rPr>
        <w:t>, p. </w:t>
      </w:r>
      <w:r w:rsidR="00B37AD7" w:rsidRPr="00B37AD7">
        <w:rPr>
          <w:sz w:val="24"/>
          <w:lang w:val="lt-LT"/>
        </w:rPr>
        <w:t>28</w:t>
      </w:r>
      <w:r w:rsidRPr="00B62ADA">
        <w:rPr>
          <w:sz w:val="24"/>
          <w:lang w:val="lt-LT"/>
        </w:rPr>
        <w:t xml:space="preserve">, ELI: </w:t>
      </w:r>
      <w:hyperlink r:id="rId4" w:history="1">
        <w:r w:rsidRPr="00B62ADA">
          <w:rPr>
            <w:rStyle w:val="Hyperlink"/>
            <w:sz w:val="24"/>
            <w:lang w:val="lt-LT"/>
          </w:rPr>
          <w:t>http://data.europa.eu/eli/agree_interinstit/</w:t>
        </w:r>
        <w:r w:rsidR="00B37AD7" w:rsidRPr="00B37AD7">
          <w:rPr>
            <w:rStyle w:val="Hyperlink"/>
            <w:sz w:val="24"/>
            <w:lang w:val="lt-LT"/>
          </w:rPr>
          <w:t>2020</w:t>
        </w:r>
        <w:r w:rsidRPr="00B62ADA">
          <w:rPr>
            <w:rStyle w:val="Hyperlink"/>
            <w:sz w:val="24"/>
            <w:lang w:val="lt-LT"/>
          </w:rPr>
          <w:t>/</w:t>
        </w:r>
        <w:r w:rsidR="00B37AD7" w:rsidRPr="00B37AD7">
          <w:rPr>
            <w:rStyle w:val="Hyperlink"/>
            <w:sz w:val="24"/>
            <w:lang w:val="lt-LT"/>
          </w:rPr>
          <w:t>1222</w:t>
        </w:r>
        <w:r w:rsidRPr="00B62ADA">
          <w:rPr>
            <w:rStyle w:val="Hyperlink"/>
            <w:sz w:val="24"/>
            <w:lang w:val="lt-LT"/>
          </w:rPr>
          <w:t>/oj</w:t>
        </w:r>
      </w:hyperlink>
      <w:r w:rsidRPr="00B62ADA">
        <w:rPr>
          <w:sz w:val="24"/>
          <w:lang w:val="lt-LT"/>
        </w:rPr>
        <w:t>.</w:t>
      </w:r>
    </w:p>
  </w:footnote>
  <w:footnote w:id="5">
    <w:p w14:paraId="31F14750" w14:textId="3A441DC5" w:rsidR="00112FBE" w:rsidRPr="00B62ADA" w:rsidRDefault="00112FBE" w:rsidP="00B62ADA">
      <w:pPr>
        <w:pStyle w:val="FootnoteText"/>
        <w:ind w:left="567" w:hanging="567"/>
        <w:rPr>
          <w:sz w:val="24"/>
          <w:lang w:val="lt-LT"/>
        </w:rPr>
      </w:pPr>
      <w:r w:rsidRPr="00B62ADA">
        <w:rPr>
          <w:rStyle w:val="FootnoteReference"/>
          <w:sz w:val="24"/>
          <w:lang w:val="lt-LT"/>
        </w:rPr>
        <w:footnoteRef/>
      </w:r>
      <w:r w:rsidR="00B62ADA" w:rsidRPr="00B62ADA">
        <w:rPr>
          <w:sz w:val="24"/>
          <w:lang w:val="lt-LT"/>
        </w:rPr>
        <w:t xml:space="preserve"> </w:t>
      </w:r>
      <w:r w:rsidR="00B62ADA" w:rsidRPr="00B62ADA">
        <w:rPr>
          <w:sz w:val="24"/>
          <w:lang w:val="lt-LT"/>
        </w:rPr>
        <w:tab/>
      </w:r>
      <w:r w:rsidRPr="00B62ADA">
        <w:rPr>
          <w:sz w:val="24"/>
          <w:lang w:val="lt-LT"/>
        </w:rPr>
        <w:t xml:space="preserve">Pagal EGF reglamento </w:t>
      </w:r>
      <w:r w:rsidR="00B37AD7" w:rsidRPr="00B37AD7">
        <w:rPr>
          <w:sz w:val="24"/>
          <w:lang w:val="lt-LT"/>
        </w:rPr>
        <w:t>3</w:t>
      </w:r>
      <w:r w:rsidRPr="00B62ADA">
        <w:rPr>
          <w:sz w:val="24"/>
          <w:lang w:val="lt-LT"/>
        </w:rPr>
        <w:t> straipsnį.</w:t>
      </w:r>
    </w:p>
  </w:footnote>
  <w:footnote w:id="6">
    <w:p w14:paraId="10499278" w14:textId="61CFE2C6" w:rsidR="00112FBE" w:rsidRPr="00B62ADA" w:rsidRDefault="00112FBE" w:rsidP="00B62ADA">
      <w:pPr>
        <w:pStyle w:val="FootnoteText"/>
        <w:ind w:left="567" w:hanging="567"/>
        <w:rPr>
          <w:sz w:val="24"/>
          <w:lang w:val="lt-LT"/>
        </w:rPr>
      </w:pPr>
      <w:r w:rsidRPr="00B62ADA">
        <w:rPr>
          <w:rStyle w:val="FootnoteReference"/>
          <w:sz w:val="24"/>
          <w:lang w:val="lt-LT"/>
        </w:rPr>
        <w:footnoteRef/>
      </w:r>
      <w:r w:rsidR="00B62ADA" w:rsidRPr="00B62ADA">
        <w:rPr>
          <w:sz w:val="24"/>
          <w:lang w:val="lt-LT"/>
        </w:rPr>
        <w:t xml:space="preserve"> </w:t>
      </w:r>
      <w:r w:rsidR="00B62ADA" w:rsidRPr="00B62ADA">
        <w:rPr>
          <w:sz w:val="24"/>
          <w:lang w:val="lt-LT"/>
        </w:rPr>
        <w:tab/>
      </w:r>
      <w:r w:rsidRPr="00B62ADA">
        <w:rPr>
          <w:sz w:val="24"/>
          <w:lang w:val="lt-LT"/>
        </w:rPr>
        <w:t xml:space="preserve">DFP reglamento </w:t>
      </w:r>
      <w:r w:rsidR="00B37AD7" w:rsidRPr="00B37AD7">
        <w:rPr>
          <w:sz w:val="24"/>
          <w:lang w:val="lt-LT"/>
        </w:rPr>
        <w:t>8</w:t>
      </w:r>
      <w:r w:rsidRPr="00B62ADA">
        <w:rPr>
          <w:sz w:val="24"/>
          <w:lang w:val="lt-LT"/>
        </w:rPr>
        <w:t xml:space="preserve"> straipsnis.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46F90" w14:textId="77777777" w:rsidR="00112FBE" w:rsidRPr="00B62ADA" w:rsidRDefault="00112FBE">
    <w:pPr>
      <w:pStyle w:val="Header"/>
    </w:pPr>
  </w:p>
  <w:p w14:paraId="3CE8D742" w14:textId="77777777" w:rsidR="00112FBE" w:rsidRPr="00B62ADA" w:rsidRDefault="00112FBE"/>
  <w:p w14:paraId="4B96C0D7" w14:textId="77777777" w:rsidR="00112FBE" w:rsidRPr="00B62ADA" w:rsidRDefault="00112F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A8C1D" w14:textId="77777777" w:rsidR="00064002" w:rsidRPr="00B62AD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ED59F" w14:textId="77777777" w:rsidR="00064002" w:rsidRPr="00B62ADA"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E5025" w14:textId="77777777" w:rsidR="00064002" w:rsidRPr="00B62A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5724380">
    <w:abstractNumId w:val="9"/>
  </w:num>
  <w:num w:numId="2" w16cid:durableId="1499148006">
    <w:abstractNumId w:val="9"/>
  </w:num>
  <w:num w:numId="3" w16cid:durableId="1658804940">
    <w:abstractNumId w:val="7"/>
  </w:num>
  <w:num w:numId="4" w16cid:durableId="1199926557">
    <w:abstractNumId w:val="7"/>
  </w:num>
  <w:num w:numId="5" w16cid:durableId="1558079822">
    <w:abstractNumId w:val="6"/>
  </w:num>
  <w:num w:numId="6" w16cid:durableId="799805980">
    <w:abstractNumId w:val="6"/>
  </w:num>
  <w:num w:numId="7" w16cid:durableId="198128657">
    <w:abstractNumId w:val="5"/>
  </w:num>
  <w:num w:numId="8" w16cid:durableId="943153271">
    <w:abstractNumId w:val="5"/>
  </w:num>
  <w:num w:numId="9" w16cid:durableId="805851538">
    <w:abstractNumId w:val="4"/>
  </w:num>
  <w:num w:numId="10" w16cid:durableId="875846939">
    <w:abstractNumId w:val="4"/>
  </w:num>
  <w:num w:numId="11" w16cid:durableId="670065929">
    <w:abstractNumId w:val="8"/>
  </w:num>
  <w:num w:numId="12" w16cid:durableId="29233986">
    <w:abstractNumId w:val="8"/>
  </w:num>
  <w:num w:numId="13" w16cid:durableId="1566337545">
    <w:abstractNumId w:val="3"/>
  </w:num>
  <w:num w:numId="14" w16cid:durableId="2127579379">
    <w:abstractNumId w:val="3"/>
  </w:num>
  <w:num w:numId="15" w16cid:durableId="1622492962">
    <w:abstractNumId w:val="2"/>
  </w:num>
  <w:num w:numId="16" w16cid:durableId="1175605964">
    <w:abstractNumId w:val="2"/>
  </w:num>
  <w:num w:numId="17" w16cid:durableId="614292021">
    <w:abstractNumId w:val="1"/>
  </w:num>
  <w:num w:numId="18" w16cid:durableId="1633555445">
    <w:abstractNumId w:val="1"/>
  </w:num>
  <w:num w:numId="19" w16cid:durableId="1980845120">
    <w:abstractNumId w:val="0"/>
  </w:num>
  <w:num w:numId="20" w16cid:durableId="2027824486">
    <w:abstractNumId w:val="0"/>
  </w:num>
  <w:num w:numId="21" w16cid:durableId="104270919">
    <w:abstractNumId w:val="9"/>
  </w:num>
  <w:num w:numId="22" w16cid:durableId="413936480">
    <w:abstractNumId w:val="7"/>
  </w:num>
  <w:num w:numId="23" w16cid:durableId="2110082175">
    <w:abstractNumId w:val="6"/>
  </w:num>
  <w:num w:numId="24" w16cid:durableId="1903175084">
    <w:abstractNumId w:val="5"/>
  </w:num>
  <w:num w:numId="25" w16cid:durableId="652224492">
    <w:abstractNumId w:val="4"/>
  </w:num>
  <w:num w:numId="26" w16cid:durableId="1251696374">
    <w:abstractNumId w:val="8"/>
  </w:num>
  <w:num w:numId="27" w16cid:durableId="1029572193">
    <w:abstractNumId w:val="3"/>
  </w:num>
  <w:num w:numId="28" w16cid:durableId="565457897">
    <w:abstractNumId w:val="2"/>
  </w:num>
  <w:num w:numId="29" w16cid:durableId="56130461">
    <w:abstractNumId w:val="1"/>
  </w:num>
  <w:num w:numId="30" w16cid:durableId="1579435881">
    <w:abstractNumId w:val="0"/>
  </w:num>
  <w:num w:numId="31" w16cid:durableId="1561091623">
    <w:abstractNumId w:val="9"/>
  </w:num>
  <w:num w:numId="32" w16cid:durableId="730688398">
    <w:abstractNumId w:val="7"/>
  </w:num>
  <w:num w:numId="33" w16cid:durableId="1294673339">
    <w:abstractNumId w:val="6"/>
  </w:num>
  <w:num w:numId="34" w16cid:durableId="1105660015">
    <w:abstractNumId w:val="5"/>
  </w:num>
  <w:num w:numId="35" w16cid:durableId="1134061430">
    <w:abstractNumId w:val="4"/>
  </w:num>
  <w:num w:numId="36" w16cid:durableId="1397240906">
    <w:abstractNumId w:val="8"/>
  </w:num>
  <w:num w:numId="37" w16cid:durableId="1284851783">
    <w:abstractNumId w:val="3"/>
  </w:num>
  <w:num w:numId="38" w16cid:durableId="55907727">
    <w:abstractNumId w:val="2"/>
  </w:num>
  <w:num w:numId="39" w16cid:durableId="1974288531">
    <w:abstractNumId w:val="1"/>
  </w:num>
  <w:num w:numId="40" w16cid:durableId="788083519">
    <w:abstractNumId w:val="0"/>
  </w:num>
  <w:num w:numId="41" w16cid:durableId="788664563">
    <w:abstractNumId w:val="10"/>
  </w:num>
  <w:num w:numId="42" w16cid:durableId="341858913">
    <w:abstractNumId w:val="10"/>
  </w:num>
  <w:num w:numId="43" w16cid:durableId="701051160">
    <w:abstractNumId w:val="10"/>
  </w:num>
  <w:num w:numId="44" w16cid:durableId="5971754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6"/>
    <w:docVar w:name="dvlangue" w:val="LT"/>
    <w:docVar w:name="dvnumam" w:val="0"/>
    <w:docVar w:name="dvpe" w:val="784.477"/>
    <w:docVar w:name="dvrapporteur" w:val="Pranešėjas: "/>
    <w:docVar w:name="dvtitre" w:val="2026 m. kovo 26 d. Europos Parlamento teisėkūros rezoliucija dėl pasiūlymo dėl Europos Parlamento ir Tarybos sprendimo dėl Europos prisitaikymo prie globalizacijos padarinių fondo atleistiems darbuotojams lėšų mobilizavimo pagal Belgijos paraišką „EGF/2025/007 BE/Casa“(COM(2026)0003 – C10-0025/2026 – 2026/0038(BUD))"/>
  </w:docVars>
  <w:rsids>
    <w:rsidRoot w:val="00836BD9"/>
    <w:rsid w:val="00002272"/>
    <w:rsid w:val="00064002"/>
    <w:rsid w:val="000677B9"/>
    <w:rsid w:val="000831BA"/>
    <w:rsid w:val="000A42CC"/>
    <w:rsid w:val="000E7DD9"/>
    <w:rsid w:val="0010095E"/>
    <w:rsid w:val="00112FBE"/>
    <w:rsid w:val="00125B37"/>
    <w:rsid w:val="00146FBE"/>
    <w:rsid w:val="00187494"/>
    <w:rsid w:val="001E2947"/>
    <w:rsid w:val="001F32AE"/>
    <w:rsid w:val="00265480"/>
    <w:rsid w:val="002767FF"/>
    <w:rsid w:val="002B18FE"/>
    <w:rsid w:val="002B5493"/>
    <w:rsid w:val="002D628D"/>
    <w:rsid w:val="0032312F"/>
    <w:rsid w:val="00343214"/>
    <w:rsid w:val="00361C00"/>
    <w:rsid w:val="00395FA1"/>
    <w:rsid w:val="003E15D4"/>
    <w:rsid w:val="00411CCE"/>
    <w:rsid w:val="0041666E"/>
    <w:rsid w:val="00421060"/>
    <w:rsid w:val="00471C19"/>
    <w:rsid w:val="004867E3"/>
    <w:rsid w:val="00494A28"/>
    <w:rsid w:val="004B4229"/>
    <w:rsid w:val="004C0004"/>
    <w:rsid w:val="004C5D52"/>
    <w:rsid w:val="0050519A"/>
    <w:rsid w:val="00505CBA"/>
    <w:rsid w:val="005072A1"/>
    <w:rsid w:val="00514517"/>
    <w:rsid w:val="00545827"/>
    <w:rsid w:val="00560270"/>
    <w:rsid w:val="005C2568"/>
    <w:rsid w:val="005E5A96"/>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6BD9"/>
    <w:rsid w:val="00842779"/>
    <w:rsid w:val="00865F67"/>
    <w:rsid w:val="00881A7B"/>
    <w:rsid w:val="008840E5"/>
    <w:rsid w:val="00887B3E"/>
    <w:rsid w:val="008C2AC6"/>
    <w:rsid w:val="00930C23"/>
    <w:rsid w:val="0093193B"/>
    <w:rsid w:val="009509D8"/>
    <w:rsid w:val="00950B64"/>
    <w:rsid w:val="00981893"/>
    <w:rsid w:val="009B56B4"/>
    <w:rsid w:val="00A042B5"/>
    <w:rsid w:val="00A1687D"/>
    <w:rsid w:val="00A43E52"/>
    <w:rsid w:val="00A4678D"/>
    <w:rsid w:val="00A778C7"/>
    <w:rsid w:val="00AB441E"/>
    <w:rsid w:val="00AB6293"/>
    <w:rsid w:val="00AE0928"/>
    <w:rsid w:val="00AE1720"/>
    <w:rsid w:val="00AF3B82"/>
    <w:rsid w:val="00B12E95"/>
    <w:rsid w:val="00B22876"/>
    <w:rsid w:val="00B37AD7"/>
    <w:rsid w:val="00B558F0"/>
    <w:rsid w:val="00B62ADA"/>
    <w:rsid w:val="00BD48FE"/>
    <w:rsid w:val="00BD7BD8"/>
    <w:rsid w:val="00BE6ADC"/>
    <w:rsid w:val="00C05BFE"/>
    <w:rsid w:val="00C23CD4"/>
    <w:rsid w:val="00C61C0C"/>
    <w:rsid w:val="00C76745"/>
    <w:rsid w:val="00C941CB"/>
    <w:rsid w:val="00CC2357"/>
    <w:rsid w:val="00CF071A"/>
    <w:rsid w:val="00D058B8"/>
    <w:rsid w:val="00D56C11"/>
    <w:rsid w:val="00D834A0"/>
    <w:rsid w:val="00D872DF"/>
    <w:rsid w:val="00D91E21"/>
    <w:rsid w:val="00DA7FCD"/>
    <w:rsid w:val="00DD111A"/>
    <w:rsid w:val="00E365E1"/>
    <w:rsid w:val="00E820A4"/>
    <w:rsid w:val="00EB006A"/>
    <w:rsid w:val="00EB4772"/>
    <w:rsid w:val="00EC3C2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F1CD5"/>
  <w15:chartTrackingRefBased/>
  <w15:docId w15:val="{A36C7165-F108-4746-A957-AE3F60884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12FB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112FBE"/>
    <w:pPr>
      <w:keepNext/>
      <w:spacing w:after="480"/>
      <w:jc w:val="center"/>
    </w:pPr>
    <w:rPr>
      <w:rFonts w:ascii="Arial" w:hAnsi="Arial" w:cs="Arial"/>
      <w:b/>
    </w:rPr>
  </w:style>
  <w:style w:type="paragraph" w:customStyle="1" w:styleId="NormalHanging12a">
    <w:name w:val="NormalHanging12a"/>
    <w:basedOn w:val="Normal"/>
    <w:link w:val="NormalHanging12aChar"/>
    <w:rsid w:val="00112FBE"/>
    <w:pPr>
      <w:spacing w:after="240"/>
      <w:ind w:left="567" w:hanging="567"/>
    </w:pPr>
  </w:style>
  <w:style w:type="paragraph" w:styleId="Header">
    <w:name w:val="header"/>
    <w:basedOn w:val="Normal"/>
    <w:link w:val="HeaderChar"/>
    <w:rsid w:val="00112FBE"/>
    <w:pPr>
      <w:tabs>
        <w:tab w:val="center" w:pos="4513"/>
        <w:tab w:val="right" w:pos="9026"/>
      </w:tabs>
    </w:pPr>
  </w:style>
  <w:style w:type="character" w:customStyle="1" w:styleId="HeaderChar">
    <w:name w:val="Header Char"/>
    <w:basedOn w:val="DefaultParagraphFont"/>
    <w:link w:val="Header"/>
    <w:rsid w:val="00112FBE"/>
    <w:rPr>
      <w:sz w:val="24"/>
      <w:lang w:val="lt-LT"/>
    </w:rPr>
  </w:style>
  <w:style w:type="paragraph" w:customStyle="1" w:styleId="EPFooter">
    <w:name w:val="EPFooter"/>
    <w:basedOn w:val="Normal"/>
    <w:rsid w:val="00112FBE"/>
    <w:pPr>
      <w:tabs>
        <w:tab w:val="center" w:pos="4535"/>
        <w:tab w:val="right" w:pos="9071"/>
      </w:tabs>
      <w:spacing w:before="240" w:after="240"/>
    </w:pPr>
    <w:rPr>
      <w:color w:val="010000"/>
      <w:sz w:val="22"/>
    </w:rPr>
  </w:style>
  <w:style w:type="paragraph" w:customStyle="1" w:styleId="EPComma">
    <w:name w:val="EPComma"/>
    <w:basedOn w:val="Normal"/>
    <w:rsid w:val="00112FBE"/>
    <w:pPr>
      <w:spacing w:before="480" w:after="240"/>
    </w:pPr>
  </w:style>
  <w:style w:type="character" w:styleId="Hyperlink">
    <w:name w:val="Hyperlink"/>
    <w:basedOn w:val="DefaultParagraphFont"/>
    <w:uiPriority w:val="99"/>
    <w:rsid w:val="00112FBE"/>
    <w:rPr>
      <w:color w:val="0563C1" w:themeColor="hyperlink"/>
      <w:u w:val="single"/>
    </w:rPr>
  </w:style>
  <w:style w:type="character" w:customStyle="1" w:styleId="NormalHanging12aChar">
    <w:name w:val="NormalHanging12a Char"/>
    <w:basedOn w:val="DefaultParagraphFont"/>
    <w:link w:val="NormalHanging12a"/>
    <w:locked/>
    <w:rsid w:val="00112FBE"/>
    <w:rPr>
      <w:sz w:val="24"/>
      <w:lang w:val="lt-LT"/>
    </w:rPr>
  </w:style>
  <w:style w:type="character" w:customStyle="1" w:styleId="PageHeadingChar">
    <w:name w:val="PageHeading Char"/>
    <w:basedOn w:val="DefaultParagraphFont"/>
    <w:link w:val="PageHeading"/>
    <w:locked/>
    <w:rsid w:val="00112FBE"/>
    <w:rPr>
      <w:rFonts w:ascii="Arial" w:hAnsi="Arial" w:cs="Arial"/>
      <w:b/>
      <w:sz w:val="24"/>
      <w:lang w:val="lt-LT"/>
    </w:rPr>
  </w:style>
  <w:style w:type="paragraph" w:customStyle="1" w:styleId="Titreobjet">
    <w:name w:val="Titre objet"/>
    <w:basedOn w:val="Normal"/>
    <w:next w:val="Normal"/>
    <w:rsid w:val="00112FBE"/>
    <w:pPr>
      <w:widowControl/>
      <w:spacing w:before="360" w:after="360"/>
      <w:jc w:val="center"/>
    </w:pPr>
    <w:rPr>
      <w:rFonts w:eastAsiaTheme="minorHAnsi"/>
      <w:b/>
      <w:szCs w:val="22"/>
      <w:lang w:eastAsia="en-US"/>
    </w:rPr>
  </w:style>
  <w:style w:type="paragraph" w:customStyle="1" w:styleId="Fait">
    <w:name w:val="Fait à"/>
    <w:basedOn w:val="Normal"/>
    <w:next w:val="Institutionquisigne"/>
    <w:rsid w:val="00112FBE"/>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112FB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12FBE"/>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112FBE"/>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112FBE"/>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112FBE"/>
    <w:pPr>
      <w:widowControl/>
      <w:tabs>
        <w:tab w:val="left" w:pos="4252"/>
      </w:tabs>
    </w:pPr>
    <w:rPr>
      <w:rFonts w:eastAsiaTheme="minorHAnsi"/>
      <w:i/>
      <w:szCs w:val="22"/>
      <w:lang w:eastAsia="en-US"/>
    </w:rPr>
  </w:style>
  <w:style w:type="paragraph" w:customStyle="1" w:styleId="Titrearticle">
    <w:name w:val="Titre article"/>
    <w:basedOn w:val="Normal"/>
    <w:next w:val="Normal"/>
    <w:rsid w:val="00112FBE"/>
    <w:pPr>
      <w:keepNext/>
      <w:widowControl/>
      <w:spacing w:before="360" w:after="120"/>
      <w:jc w:val="center"/>
    </w:pPr>
    <w:rPr>
      <w:rFonts w:eastAsiaTheme="minorHAnsi"/>
      <w:i/>
      <w:szCs w:val="22"/>
      <w:lang w:eastAsia="en-US"/>
    </w:rPr>
  </w:style>
  <w:style w:type="paragraph" w:styleId="Footer">
    <w:name w:val="footer"/>
    <w:basedOn w:val="Normal"/>
    <w:link w:val="FooterChar"/>
    <w:rsid w:val="00265480"/>
    <w:pPr>
      <w:tabs>
        <w:tab w:val="center" w:pos="4513"/>
        <w:tab w:val="right" w:pos="9026"/>
      </w:tabs>
    </w:pPr>
  </w:style>
  <w:style w:type="character" w:customStyle="1" w:styleId="FooterChar">
    <w:name w:val="Footer Char"/>
    <w:basedOn w:val="DefaultParagraphFont"/>
    <w:link w:val="Footer"/>
    <w:rsid w:val="00265480"/>
    <w:rPr>
      <w:sz w:val="24"/>
      <w:lang w:val="lt-LT"/>
    </w:rPr>
  </w:style>
  <w:style w:type="paragraph" w:styleId="Revision">
    <w:name w:val="Revision"/>
    <w:hidden/>
    <w:uiPriority w:val="99"/>
    <w:semiHidden/>
    <w:rsid w:val="00265480"/>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433151">
      <w:bodyDiv w:val="1"/>
      <w:marLeft w:val="0"/>
      <w:marRight w:val="0"/>
      <w:marTop w:val="0"/>
      <w:marBottom w:val="0"/>
      <w:divBdr>
        <w:top w:val="none" w:sz="0" w:space="0" w:color="auto"/>
        <w:left w:val="none" w:sz="0" w:space="0" w:color="auto"/>
        <w:bottom w:val="none" w:sz="0" w:space="0" w:color="auto"/>
        <w:right w:val="none" w:sz="0" w:space="0" w:color="auto"/>
      </w:divBdr>
    </w:div>
    <w:div w:id="166372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1447</Words>
  <Characters>9919</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2026-05-12T16:25:00Z</dcterms:created>
  <dcterms:modified xsi:type="dcterms:W3CDTF">2026-05-12T16:25:00Z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P10_TA(2026)0102_</vt:lpwstr>
  </property>
  <property fmtid="{D5CDD505-2E9C-101B-9397-08002B2CF9AE}" pid="4" name="&lt;Type&gt;">
    <vt:lpwstr>RR</vt:lpwstr>
  </property>
</Properties>
</file>