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72D65" w14:paraId="440C492E" w14:textId="77777777" w:rsidTr="0010095E">
        <w:trPr>
          <w:trHeight w:hRule="exact" w:val="1418"/>
        </w:trPr>
        <w:tc>
          <w:tcPr>
            <w:tcW w:w="6804" w:type="dxa"/>
            <w:shd w:val="clear" w:color="auto" w:fill="auto"/>
            <w:vAlign w:val="center"/>
          </w:tcPr>
          <w:p w14:paraId="0FD41BE2" w14:textId="77777777" w:rsidR="00751A4A" w:rsidRPr="00C72D65" w:rsidRDefault="002010C7" w:rsidP="0010095E">
            <w:pPr>
              <w:pStyle w:val="EPName"/>
            </w:pPr>
            <w:r w:rsidRPr="00C72D65">
              <w:t>Eiropas Parlaments</w:t>
            </w:r>
          </w:p>
          <w:p w14:paraId="573E56E9" w14:textId="77777777" w:rsidR="00751A4A" w:rsidRPr="00C72D65" w:rsidRDefault="005F1B17" w:rsidP="005F1B17">
            <w:pPr>
              <w:pStyle w:val="EPTerm"/>
              <w:rPr>
                <w:rStyle w:val="HideTWBExt"/>
                <w:noProof w:val="0"/>
                <w:vanish w:val="0"/>
                <w:color w:val="auto"/>
              </w:rPr>
            </w:pPr>
            <w:r w:rsidRPr="00C72D65">
              <w:t>2024</w:t>
            </w:r>
            <w:r w:rsidR="00817416" w:rsidRPr="00C72D65">
              <w:t>-202</w:t>
            </w:r>
            <w:r w:rsidRPr="00C72D65">
              <w:t>9</w:t>
            </w:r>
          </w:p>
        </w:tc>
        <w:tc>
          <w:tcPr>
            <w:tcW w:w="2268" w:type="dxa"/>
            <w:shd w:val="clear" w:color="auto" w:fill="auto"/>
          </w:tcPr>
          <w:p w14:paraId="0D991020" w14:textId="77777777" w:rsidR="00751A4A" w:rsidRPr="00C72D65" w:rsidRDefault="00187494" w:rsidP="0010095E">
            <w:pPr>
              <w:pStyle w:val="EPLogo"/>
            </w:pPr>
            <w:r w:rsidRPr="00C72D65">
              <w:rPr>
                <w:noProof/>
                <w:lang w:eastAsia="ja-JP"/>
              </w:rPr>
              <w:drawing>
                <wp:inline distT="0" distB="0" distL="0" distR="0" wp14:anchorId="0AC72FDF" wp14:editId="168431B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6605456" w14:textId="77777777" w:rsidR="00D058B8" w:rsidRPr="00C72D65" w:rsidRDefault="00D058B8" w:rsidP="004C5D52">
      <w:pPr>
        <w:pStyle w:val="LineTop"/>
      </w:pPr>
    </w:p>
    <w:p w14:paraId="58902CED" w14:textId="77777777" w:rsidR="00680577" w:rsidRPr="00C72D65" w:rsidRDefault="002010C7" w:rsidP="00680577">
      <w:pPr>
        <w:pStyle w:val="EPBodyTA1"/>
      </w:pPr>
      <w:r w:rsidRPr="00C72D65">
        <w:t>PIEŅEMTIE TEKSTI</w:t>
      </w:r>
    </w:p>
    <w:p w14:paraId="2E185717" w14:textId="77777777" w:rsidR="00D058B8" w:rsidRPr="00C72D65" w:rsidRDefault="00D058B8" w:rsidP="00D058B8">
      <w:pPr>
        <w:pStyle w:val="LineBottom"/>
      </w:pPr>
    </w:p>
    <w:p w14:paraId="76D1E2C5" w14:textId="1C9DB44B" w:rsidR="002010C7" w:rsidRPr="00C72D65" w:rsidRDefault="002010C7" w:rsidP="002010C7">
      <w:pPr>
        <w:pStyle w:val="ATHeading1"/>
      </w:pPr>
      <w:bookmarkStart w:id="0" w:name="TANumber"/>
      <w:r w:rsidRPr="00C72D65">
        <w:t>P10_TA(2026)0</w:t>
      </w:r>
      <w:bookmarkEnd w:id="0"/>
      <w:r w:rsidR="00C72D65" w:rsidRPr="00C72D65">
        <w:t>102</w:t>
      </w:r>
    </w:p>
    <w:p w14:paraId="6CF5A277" w14:textId="006FA2F3" w:rsidR="002010C7" w:rsidRPr="00C72D65" w:rsidRDefault="002D3470" w:rsidP="002D3470">
      <w:pPr>
        <w:pStyle w:val="ATHeading2"/>
      </w:pPr>
      <w:r w:rsidRPr="00C72D65">
        <w:t>Eiropas Globalizācijas pielāgošanās fonda darbu zaudējušiem darba ņēmējiem izmantošana: Beļģijas iesniegtais pieteikums EGF/2025/007 BE/</w:t>
      </w:r>
      <w:proofErr w:type="spellStart"/>
      <w:r w:rsidRPr="00C72D65">
        <w:rPr>
          <w:i/>
          <w:iCs/>
        </w:rPr>
        <w:t>Casa</w:t>
      </w:r>
      <w:proofErr w:type="spellEnd"/>
    </w:p>
    <w:p w14:paraId="266695A9" w14:textId="77777777" w:rsidR="002010C7" w:rsidRPr="00C72D65" w:rsidRDefault="002010C7" w:rsidP="002010C7">
      <w:pPr>
        <w:rPr>
          <w:i/>
          <w:vanish/>
        </w:rPr>
      </w:pPr>
      <w:r w:rsidRPr="00C72D65">
        <w:rPr>
          <w:i/>
        </w:rPr>
        <w:fldChar w:fldCharType="begin"/>
      </w:r>
      <w:r w:rsidRPr="00C72D65">
        <w:rPr>
          <w:i/>
        </w:rPr>
        <w:instrText xml:space="preserve"> TC"(</w:instrText>
      </w:r>
      <w:bookmarkStart w:id="1" w:name="DocNumber"/>
      <w:r w:rsidRPr="00C72D65">
        <w:rPr>
          <w:i/>
        </w:rPr>
        <w:instrText>A10-0061/2026</w:instrText>
      </w:r>
      <w:bookmarkEnd w:id="1"/>
      <w:r w:rsidRPr="00C72D65">
        <w:rPr>
          <w:i/>
        </w:rPr>
        <w:instrText xml:space="preserve"> - Referents: </w:instrText>
      </w:r>
      <w:proofErr w:type="spellStart"/>
      <w:r w:rsidRPr="00C72D65">
        <w:rPr>
          <w:i/>
        </w:rPr>
        <w:instrText>Hélder</w:instrText>
      </w:r>
      <w:proofErr w:type="spellEnd"/>
      <w:r w:rsidRPr="00C72D65">
        <w:rPr>
          <w:i/>
        </w:rPr>
        <w:instrText xml:space="preserve"> </w:instrText>
      </w:r>
      <w:proofErr w:type="spellStart"/>
      <w:r w:rsidRPr="00C72D65">
        <w:rPr>
          <w:i/>
        </w:rPr>
        <w:instrText>Sousa</w:instrText>
      </w:r>
      <w:proofErr w:type="spellEnd"/>
      <w:r w:rsidRPr="00C72D65">
        <w:rPr>
          <w:i/>
        </w:rPr>
        <w:instrText xml:space="preserve"> Silva)"\l3 \n&gt; \* MERGEFORMAT </w:instrText>
      </w:r>
      <w:r w:rsidRPr="00C72D65">
        <w:rPr>
          <w:i/>
        </w:rPr>
        <w:fldChar w:fldCharType="end"/>
      </w:r>
    </w:p>
    <w:p w14:paraId="4888338F" w14:textId="77777777" w:rsidR="002010C7" w:rsidRPr="00C72D65" w:rsidRDefault="002010C7" w:rsidP="002010C7">
      <w:pPr>
        <w:rPr>
          <w:vanish/>
        </w:rPr>
      </w:pPr>
      <w:bookmarkStart w:id="2" w:name="Commission"/>
      <w:r w:rsidRPr="00C72D65">
        <w:rPr>
          <w:vanish/>
        </w:rPr>
        <w:t>Budžeta komiteja</w:t>
      </w:r>
      <w:bookmarkEnd w:id="2"/>
    </w:p>
    <w:p w14:paraId="2C2ED383" w14:textId="77777777" w:rsidR="002010C7" w:rsidRPr="00C72D65" w:rsidRDefault="002010C7" w:rsidP="002010C7">
      <w:pPr>
        <w:rPr>
          <w:vanish/>
        </w:rPr>
      </w:pPr>
      <w:bookmarkStart w:id="3" w:name="PE"/>
      <w:r w:rsidRPr="00C72D65">
        <w:rPr>
          <w:vanish/>
        </w:rPr>
        <w:t>PE784.477</w:t>
      </w:r>
      <w:bookmarkEnd w:id="3"/>
    </w:p>
    <w:p w14:paraId="1B7504E9" w14:textId="7C9412B9" w:rsidR="002010C7" w:rsidRPr="00C72D65" w:rsidRDefault="002010C7" w:rsidP="002010C7">
      <w:pPr>
        <w:pStyle w:val="ATHeading3"/>
      </w:pPr>
      <w:bookmarkStart w:id="4" w:name="Sujet"/>
      <w:r w:rsidRPr="00C72D65">
        <w:t xml:space="preserve">Eiropas Parlamenta 2026. gada </w:t>
      </w:r>
      <w:r w:rsidR="002D3470" w:rsidRPr="00C72D65">
        <w:t>26</w:t>
      </w:r>
      <w:r w:rsidRPr="00C72D65">
        <w:t xml:space="preserve">. </w:t>
      </w:r>
      <w:r w:rsidR="002D3470" w:rsidRPr="00C72D65">
        <w:t>marta</w:t>
      </w:r>
      <w:r w:rsidRPr="00C72D65">
        <w:t xml:space="preserve"> rezolūcija par priekšlikumu Eiropas Parlamenta un Padomes lēmumam par </w:t>
      </w:r>
      <w:bookmarkEnd w:id="4"/>
      <w:r w:rsidR="007F56D0" w:rsidRPr="00AC4846">
        <w:rPr>
          <w:noProof/>
        </w:rPr>
        <w:t>Eiropas Globalizācijas pielāgošanās fonda darbu zaudējušiem darba ņēmējiem izmantošanu saistībā ar Beļģijas iesniegto pieteikumu (EGF/2025/007 BE/</w:t>
      </w:r>
      <w:r w:rsidR="007F56D0" w:rsidRPr="00AC4846">
        <w:rPr>
          <w:i/>
          <w:noProof/>
        </w:rPr>
        <w:t>Casa</w:t>
      </w:r>
      <w:r w:rsidR="007F56D0" w:rsidRPr="00AC4846">
        <w:rPr>
          <w:noProof/>
        </w:rPr>
        <w:t>)</w:t>
      </w:r>
      <w:r w:rsidRPr="00C72D65">
        <w:t xml:space="preserve"> </w:t>
      </w:r>
      <w:bookmarkStart w:id="5" w:name="References"/>
      <w:r w:rsidRPr="00C72D65">
        <w:t>(COM(2026)0003 – C10-0025/2026 – 2026/0038(BUD))</w:t>
      </w:r>
      <w:bookmarkEnd w:id="5"/>
    </w:p>
    <w:p w14:paraId="1FCC23A3" w14:textId="77777777" w:rsidR="00273F53" w:rsidRPr="00C72D65" w:rsidRDefault="00273F53" w:rsidP="00273F53">
      <w:pPr>
        <w:pStyle w:val="EPComma"/>
        <w:rPr>
          <w:noProof/>
        </w:rPr>
      </w:pPr>
      <w:r w:rsidRPr="00C72D65">
        <w:rPr>
          <w:i/>
          <w:iCs/>
        </w:rPr>
        <w:t>Eiropas Parlaments</w:t>
      </w:r>
      <w:r w:rsidRPr="00C72D65">
        <w:t>,</w:t>
      </w:r>
    </w:p>
    <w:p w14:paraId="757FDE82" w14:textId="77777777" w:rsidR="00273F53" w:rsidRPr="00C72D65" w:rsidRDefault="00273F53" w:rsidP="00273F53">
      <w:pPr>
        <w:pStyle w:val="NormalHanging12a"/>
        <w:rPr>
          <w:noProof/>
        </w:rPr>
      </w:pPr>
      <w:r w:rsidRPr="00C72D65">
        <w:t>–</w:t>
      </w:r>
      <w:r w:rsidRPr="00C72D65">
        <w:tab/>
        <w:t>ņemot vērā Komisijas priekšlikumu Eiropas Parlamentam un Padomei (COM(2026)0003 – C10-0025/2026),</w:t>
      </w:r>
    </w:p>
    <w:p w14:paraId="45880734" w14:textId="77777777" w:rsidR="00273F53" w:rsidRPr="00C72D65" w:rsidRDefault="00273F53" w:rsidP="00273F53">
      <w:pPr>
        <w:pStyle w:val="NormalHanging12a"/>
      </w:pPr>
      <w:r w:rsidRPr="00C72D65">
        <w:t>–</w:t>
      </w:r>
      <w:r w:rsidRPr="00C72D65">
        <w:tab/>
        <w:t>ņemot vērā Eiropas Parlamenta un Padomes 2021. gada 28. aprīļa Regulu (ES) 2021/691 par Eiropas Globalizācijas pielāgošanās fondu darbu zaudējušiem darba ņēmējiem (EGF) un ar ko atceļ Regulu (ES) Nr. 1309/2013</w:t>
      </w:r>
      <w:r w:rsidRPr="00C72D65">
        <w:rPr>
          <w:vertAlign w:val="superscript"/>
        </w:rPr>
        <w:footnoteReference w:id="1"/>
      </w:r>
      <w:r w:rsidRPr="00C72D65">
        <w:t xml:space="preserve"> (“EGF regula”), </w:t>
      </w:r>
    </w:p>
    <w:p w14:paraId="0E8937FA" w14:textId="77777777" w:rsidR="00273F53" w:rsidRPr="00C72D65" w:rsidRDefault="00273F53" w:rsidP="00273F53">
      <w:pPr>
        <w:pStyle w:val="NormalHanging12a"/>
        <w:rPr>
          <w:noProof/>
        </w:rPr>
      </w:pPr>
      <w:r w:rsidRPr="00C72D65">
        <w:t>–</w:t>
      </w:r>
      <w:r w:rsidRPr="00C72D65">
        <w:tab/>
        <w:t xml:space="preserve">ņemot vērā Padomes 2020. gada 17. decembra Regulu (ES, </w:t>
      </w:r>
      <w:r w:rsidRPr="00C72D65">
        <w:rPr>
          <w:i/>
          <w:iCs/>
        </w:rPr>
        <w:t>Euratom</w:t>
      </w:r>
      <w:r w:rsidRPr="00C72D65">
        <w:t>) 2020/2093, ar ko nosaka daudzgadu finanšu shēmu 2021.–2027. gadam (“DFS regula”)</w:t>
      </w:r>
      <w:r w:rsidRPr="00C72D65">
        <w:rPr>
          <w:noProof/>
          <w:vertAlign w:val="superscript"/>
        </w:rPr>
        <w:footnoteReference w:id="2"/>
      </w:r>
      <w:r w:rsidRPr="00C72D65">
        <w:t xml:space="preserve">, kurā izdarīti grozījumi ar Regulu (ES, </w:t>
      </w:r>
      <w:r w:rsidRPr="00C72D65">
        <w:rPr>
          <w:i/>
          <w:iCs/>
        </w:rPr>
        <w:t>Euratom</w:t>
      </w:r>
      <w:r w:rsidRPr="00C72D65">
        <w:t>) 2024/765</w:t>
      </w:r>
      <w:r w:rsidRPr="00C72D65">
        <w:rPr>
          <w:noProof/>
          <w:vertAlign w:val="superscript"/>
        </w:rPr>
        <w:footnoteReference w:id="3"/>
      </w:r>
      <w:r w:rsidRPr="00C72D65">
        <w:t xml:space="preserve">, un jo īpaši tās 8. pantu, </w:t>
      </w:r>
    </w:p>
    <w:p w14:paraId="41351C61" w14:textId="77777777" w:rsidR="00273F53" w:rsidRPr="00C72D65" w:rsidRDefault="00273F53" w:rsidP="00273F53">
      <w:pPr>
        <w:pStyle w:val="NormalHanging12a"/>
        <w:rPr>
          <w:noProof/>
        </w:rPr>
      </w:pPr>
      <w:r w:rsidRPr="00C72D65">
        <w:t>–</w:t>
      </w:r>
      <w:r w:rsidRPr="00C72D65">
        <w:tab/>
        <w:t>ņemot vērā 2020. gada 16. decembra Iestāžu nolīgumu starp Eiropas Parlamentu, Eiropas Savienības Padomi un Eiropas Komisiju par budžeta disciplīnu, sadarbību budžeta jautājumos un pareizu finanšu pārvaldību, kā arī par jauniem pašu resursiem, tostarp par ceļvedi jaunu pašu resursu ieviešanai</w:t>
      </w:r>
      <w:r w:rsidRPr="00C72D65">
        <w:rPr>
          <w:rStyle w:val="FootnoteReference"/>
          <w:noProof/>
        </w:rPr>
        <w:footnoteReference w:id="4"/>
      </w:r>
      <w:r w:rsidRPr="00C72D65">
        <w:t>, un jo īpaši tā 9. punktu,</w:t>
      </w:r>
    </w:p>
    <w:p w14:paraId="2D8E95AC" w14:textId="77777777" w:rsidR="00273F53" w:rsidRPr="00C72D65" w:rsidRDefault="00273F53" w:rsidP="00273F53">
      <w:pPr>
        <w:pStyle w:val="NormalHanging12a"/>
      </w:pPr>
      <w:r w:rsidRPr="00C72D65">
        <w:lastRenderedPageBreak/>
        <w:t>–</w:t>
      </w:r>
      <w:r w:rsidRPr="00C72D65">
        <w:tab/>
        <w:t>ņemot vērā Eiropas sociālo tiesību pīlāru,</w:t>
      </w:r>
    </w:p>
    <w:p w14:paraId="5210B88E" w14:textId="77777777" w:rsidR="00273F53" w:rsidRPr="00C72D65" w:rsidRDefault="00273F53" w:rsidP="00273F53">
      <w:pPr>
        <w:pStyle w:val="NormalHanging12a"/>
      </w:pPr>
      <w:r w:rsidRPr="00C72D65">
        <w:t>–</w:t>
      </w:r>
      <w:r w:rsidRPr="00C72D65">
        <w:tab/>
        <w:t>ņemot vērā Nodarbinātības un sociālo lietu komitejas vēstuli,</w:t>
      </w:r>
    </w:p>
    <w:p w14:paraId="66850DF4" w14:textId="77777777" w:rsidR="00273F53" w:rsidRPr="00C72D65" w:rsidRDefault="00273F53" w:rsidP="00273F53">
      <w:pPr>
        <w:pStyle w:val="NormalHanging12a"/>
      </w:pPr>
      <w:r w:rsidRPr="00C72D65">
        <w:t>–</w:t>
      </w:r>
      <w:r w:rsidRPr="00C72D65">
        <w:tab/>
        <w:t>ņemot vērā Budžeta komitejas ziņojumu (A10-0061/2026),</w:t>
      </w:r>
    </w:p>
    <w:p w14:paraId="197538D6" w14:textId="77777777" w:rsidR="00273F53" w:rsidRPr="00C72D65" w:rsidRDefault="00273F53" w:rsidP="00273F53">
      <w:pPr>
        <w:pStyle w:val="NormalHanging12a"/>
        <w:rPr>
          <w:noProof/>
        </w:rPr>
      </w:pPr>
      <w:r w:rsidRPr="00C72D65">
        <w:t>A.</w:t>
      </w:r>
      <w:r w:rsidRPr="00C72D65">
        <w:tab/>
        <w:t xml:space="preserve">tā kā Savienība ir izveidojusi likumdošanas un budžeta instrumentus, lai sniegtu papildu atbalstu darba ņēmējiem, kurus nelabvēlīgi </w:t>
      </w:r>
      <w:proofErr w:type="spellStart"/>
      <w:r w:rsidRPr="00C72D65">
        <w:t>skāruši</w:t>
      </w:r>
      <w:proofErr w:type="spellEnd"/>
      <w:r w:rsidRPr="00C72D65">
        <w:t xml:space="preserve"> būtiski strukturāli notikumi un pārmaiņas pasaules tirdzniecības struktūrā, un lai palīdzētu viņiem no jauna iekļauties darba tirgū; tā kā šī palīdzība tiek nodrošināta, sniedzot finansiālu atbalstu darba ņēmējiem;</w:t>
      </w:r>
    </w:p>
    <w:p w14:paraId="4112327F" w14:textId="77777777" w:rsidR="00273F53" w:rsidRPr="00C72D65" w:rsidRDefault="00273F53" w:rsidP="00273F53">
      <w:pPr>
        <w:pStyle w:val="NormalHanging12a"/>
      </w:pPr>
      <w:r w:rsidRPr="00C72D65">
        <w:t>B.</w:t>
      </w:r>
      <w:r w:rsidRPr="00C72D65">
        <w:tab/>
        <w:t>tā kā Beļģija ir iesniegusi pieteikumu EGF/2025/007 BE/</w:t>
      </w:r>
      <w:proofErr w:type="spellStart"/>
      <w:r w:rsidRPr="00C72D65">
        <w:rPr>
          <w:i/>
          <w:iCs/>
        </w:rPr>
        <w:t>Casa</w:t>
      </w:r>
      <w:proofErr w:type="spellEnd"/>
      <w:r w:rsidRPr="00C72D65">
        <w:t>, lai saņemtu finansiālu ieguldījumu no EGF saistībā ar 416 darbinieku atlaišanu</w:t>
      </w:r>
      <w:r w:rsidRPr="00C72D65">
        <w:rPr>
          <w:vertAlign w:val="superscript"/>
        </w:rPr>
        <w:footnoteReference w:id="5"/>
      </w:r>
      <w:r w:rsidRPr="00C72D65">
        <w:t xml:space="preserve"> uzņēmumā </w:t>
      </w:r>
      <w:proofErr w:type="spellStart"/>
      <w:r w:rsidRPr="00C72D65">
        <w:rPr>
          <w:i/>
          <w:iCs/>
        </w:rPr>
        <w:t>Casa</w:t>
      </w:r>
      <w:proofErr w:type="spellEnd"/>
      <w:r w:rsidRPr="00C72D65">
        <w:rPr>
          <w:i/>
          <w:iCs/>
        </w:rPr>
        <w:t xml:space="preserve"> </w:t>
      </w:r>
      <w:proofErr w:type="spellStart"/>
      <w:r w:rsidRPr="00C72D65">
        <w:rPr>
          <w:i/>
          <w:iCs/>
        </w:rPr>
        <w:t>International</w:t>
      </w:r>
      <w:proofErr w:type="spellEnd"/>
      <w:r w:rsidRPr="00C72D65">
        <w:rPr>
          <w:i/>
          <w:iCs/>
        </w:rPr>
        <w:t xml:space="preserve"> NV</w:t>
      </w:r>
      <w:r w:rsidRPr="00C72D65">
        <w:t xml:space="preserve"> (</w:t>
      </w:r>
      <w:proofErr w:type="spellStart"/>
      <w:r w:rsidRPr="00C72D65">
        <w:rPr>
          <w:i/>
          <w:iCs/>
        </w:rPr>
        <w:t>Casa</w:t>
      </w:r>
      <w:proofErr w:type="spellEnd"/>
      <w:r w:rsidRPr="00C72D65">
        <w:t xml:space="preserve">) Beļģijā saimnieciskās darbības nozarēs, kas klasificētas </w:t>
      </w:r>
      <w:r w:rsidRPr="00C72D65">
        <w:rPr>
          <w:i/>
          <w:iCs/>
        </w:rPr>
        <w:t>NACE</w:t>
      </w:r>
      <w:r w:rsidRPr="00C72D65">
        <w:t xml:space="preserve"> 2. redakcijas 47. nodaļā (Mazumtirdzniecība, izņemot automobiļus un motociklus) un 52. nodaļā (Uzglabāšanas un transporta palīgdarbības) Antverpenes provincē (BE21) Flandrijā pārskata periodā no 2025. gada 6. marta līdz 2025. gada 6. jūlijam; </w:t>
      </w:r>
    </w:p>
    <w:p w14:paraId="72281A49" w14:textId="77777777" w:rsidR="00273F53" w:rsidRPr="00C72D65" w:rsidRDefault="00273F53" w:rsidP="00273F53">
      <w:pPr>
        <w:pStyle w:val="NormalHanging12a"/>
      </w:pPr>
      <w:r w:rsidRPr="00C72D65">
        <w:t>C.</w:t>
      </w:r>
      <w:r w:rsidRPr="00C72D65">
        <w:tab/>
        <w:t xml:space="preserve">tā kā pieteikuma pamatā ir EGF regulas 4. panta 2. punkta a) apakšpunktā minētie intervences kritēriji; tā kā 257 atlaišanas gadījumi ir saistīti ar </w:t>
      </w:r>
      <w:proofErr w:type="spellStart"/>
      <w:r w:rsidRPr="00C72D65">
        <w:rPr>
          <w:i/>
          <w:iCs/>
        </w:rPr>
        <w:t>Casa</w:t>
      </w:r>
      <w:proofErr w:type="spellEnd"/>
      <w:r w:rsidRPr="00C72D65">
        <w:rPr>
          <w:i/>
          <w:iCs/>
        </w:rPr>
        <w:t xml:space="preserve"> </w:t>
      </w:r>
      <w:proofErr w:type="spellStart"/>
      <w:r w:rsidRPr="00C72D65">
        <w:rPr>
          <w:i/>
          <w:iCs/>
        </w:rPr>
        <w:t>International</w:t>
      </w:r>
      <w:proofErr w:type="spellEnd"/>
      <w:r w:rsidRPr="00C72D65">
        <w:rPr>
          <w:i/>
          <w:iCs/>
        </w:rPr>
        <w:t xml:space="preserve"> NV</w:t>
      </w:r>
      <w:r w:rsidRPr="00C72D65">
        <w:t xml:space="preserve"> (mazumtirdzniecība) ar 65 mazumtirdzniecības vietām visā Beļģijā un 159 atlaišanas gadījumi ir saistīti ar </w:t>
      </w:r>
      <w:proofErr w:type="spellStart"/>
      <w:r w:rsidRPr="00C72D65">
        <w:rPr>
          <w:i/>
          <w:iCs/>
        </w:rPr>
        <w:t>Casa</w:t>
      </w:r>
      <w:proofErr w:type="spellEnd"/>
      <w:r w:rsidRPr="00C72D65">
        <w:rPr>
          <w:i/>
          <w:iCs/>
        </w:rPr>
        <w:t xml:space="preserve"> </w:t>
      </w:r>
      <w:proofErr w:type="spellStart"/>
      <w:r w:rsidRPr="00C72D65">
        <w:rPr>
          <w:i/>
          <w:iCs/>
        </w:rPr>
        <w:t>Logistics</w:t>
      </w:r>
      <w:proofErr w:type="spellEnd"/>
      <w:r w:rsidRPr="00C72D65">
        <w:rPr>
          <w:i/>
          <w:iCs/>
        </w:rPr>
        <w:t xml:space="preserve"> NV</w:t>
      </w:r>
      <w:r w:rsidRPr="00C72D65">
        <w:t xml:space="preserve"> (noliktavas), kas atbild par uzglabāšanu un izplatīšanu šajās tirdzniecības vietās; </w:t>
      </w:r>
    </w:p>
    <w:p w14:paraId="07854ECB" w14:textId="77777777" w:rsidR="00273F53" w:rsidRPr="00C72D65" w:rsidRDefault="00273F53" w:rsidP="00273F53">
      <w:pPr>
        <w:pStyle w:val="NormalHanging12a"/>
        <w:rPr>
          <w:noProof/>
        </w:rPr>
      </w:pPr>
      <w:r w:rsidRPr="00C72D65">
        <w:t>D.</w:t>
      </w:r>
      <w:r w:rsidRPr="00C72D65">
        <w:tab/>
        <w:t xml:space="preserve">tā kā </w:t>
      </w:r>
      <w:proofErr w:type="spellStart"/>
      <w:r w:rsidRPr="00C72D65">
        <w:rPr>
          <w:i/>
          <w:iCs/>
        </w:rPr>
        <w:t>Casa</w:t>
      </w:r>
      <w:proofErr w:type="spellEnd"/>
      <w:r w:rsidRPr="00C72D65">
        <w:t xml:space="preserve"> 2025. gada 6. martā iesniedza bankrota pieteikumu; tā kā Beļģijā kopš 2022. gada pieaug bankrotu skaits, jo īpaši mazumtirdzniecības nozarē, kurā notiek dziļas strukturālas pārmaiņas, ko veicina e-komercijas pieaugums un patērētāju ieradumu maiņa; tā kā šajā gadījumā 67,5 % no attiecīgā darbaspēka ir sievietes; tādēļ uzsver, ka EGF atbalsta pasākumos būtu jāņem vērā īpašās vajadzības un šķēršļi, ar kuriem saskaras šīs sievietes, lai atgrieztos darba tirgū;</w:t>
      </w:r>
    </w:p>
    <w:p w14:paraId="202C875B" w14:textId="77777777" w:rsidR="00273F53" w:rsidRPr="00C72D65" w:rsidRDefault="00273F53" w:rsidP="00273F53">
      <w:pPr>
        <w:pStyle w:val="NormalHanging12a"/>
      </w:pPr>
      <w:r w:rsidRPr="00C72D65">
        <w:t>E.</w:t>
      </w:r>
      <w:r w:rsidRPr="00C72D65">
        <w:tab/>
        <w:t xml:space="preserve">tā kā </w:t>
      </w:r>
      <w:r w:rsidRPr="00C72D65">
        <w:rPr>
          <w:i/>
          <w:iCs/>
        </w:rPr>
        <w:t>VDAB</w:t>
      </w:r>
      <w:r w:rsidRPr="00C72D65">
        <w:t xml:space="preserve"> nodrošina valsts </w:t>
      </w:r>
      <w:proofErr w:type="spellStart"/>
      <w:r w:rsidRPr="00C72D65">
        <w:t>priekšfinansējumu</w:t>
      </w:r>
      <w:proofErr w:type="spellEnd"/>
      <w:r w:rsidRPr="00C72D65">
        <w:t xml:space="preserve"> un līdzfinansējumu paredzētajiem atbalsta pasākumiem;</w:t>
      </w:r>
    </w:p>
    <w:p w14:paraId="67517E14" w14:textId="77777777" w:rsidR="00273F53" w:rsidRPr="00C72D65" w:rsidRDefault="00273F53" w:rsidP="00273F53">
      <w:pPr>
        <w:pStyle w:val="NormalHanging12a"/>
      </w:pPr>
      <w:r w:rsidRPr="00C72D65">
        <w:t>F.</w:t>
      </w:r>
      <w:r w:rsidRPr="00C72D65">
        <w:tab/>
        <w:t>tā kā attiecīgie uzņēmumi ir ievērojuši Savienības un valsts tiesību aktos paredzētās prasības attiecībā uz kolektīvo atlaišanu;</w:t>
      </w:r>
    </w:p>
    <w:p w14:paraId="3C5EC52B" w14:textId="77777777" w:rsidR="00273F53" w:rsidRPr="00C72D65" w:rsidRDefault="00273F53" w:rsidP="00273F53">
      <w:pPr>
        <w:pStyle w:val="NormalHanging12a"/>
      </w:pPr>
      <w:r w:rsidRPr="00C72D65">
        <w:t>G.</w:t>
      </w:r>
      <w:r w:rsidRPr="00C72D65">
        <w:tab/>
        <w:t>tā kā EGF finansiālajam ieguldījumam galvenokārt vajadzētu būt vērstam uz aktīviem darba tirgus politikas pasākumiem un individualizētiem pakalpojumiem, kuru mērķis ir panākt, lai atbalsta saņēmēji pēc iespējas ātrāk atgrieztos darba tirgū, piedāvājot viņiem prasmju apmācību nolūkā atvieglot viņu piekļuvi darba tirgum;</w:t>
      </w:r>
    </w:p>
    <w:p w14:paraId="1ABEDEC9" w14:textId="77777777" w:rsidR="00273F53" w:rsidRPr="00C72D65" w:rsidRDefault="00273F53" w:rsidP="00273F53">
      <w:pPr>
        <w:pStyle w:val="NormalHanging12a"/>
      </w:pPr>
      <w:r w:rsidRPr="00C72D65">
        <w:t>H.</w:t>
      </w:r>
      <w:r w:rsidRPr="00C72D65">
        <w:tab/>
        <w:t>tā kā EGF ikgadējais apjoms nedrīkst pārsniegt 30 miljonus EUR (2018. gada cenās)</w:t>
      </w:r>
      <w:r w:rsidRPr="00C72D65">
        <w:rPr>
          <w:rStyle w:val="FootnoteReference"/>
        </w:rPr>
        <w:footnoteReference w:id="6"/>
      </w:r>
      <w:r w:rsidRPr="00C72D65">
        <w:t xml:space="preserve">, </w:t>
      </w:r>
    </w:p>
    <w:p w14:paraId="27758888" w14:textId="77777777" w:rsidR="00273F53" w:rsidRPr="00C72D65" w:rsidRDefault="00273F53" w:rsidP="00273F53">
      <w:pPr>
        <w:pStyle w:val="NormalHanging12a"/>
      </w:pPr>
      <w:r w:rsidRPr="00C72D65">
        <w:t>1.</w:t>
      </w:r>
      <w:r w:rsidRPr="00C72D65">
        <w:tab/>
        <w:t xml:space="preserve">piekrīt Komisijai, ka EGF regulā un jo īpaši tās 4. panta 2. punkta a) apakšpunktā paredzētie nosacījumi ir izpildīti un ka Beļģija saskaņā ar minēto regulu ir tiesīga saņemt 1 916 733 EUR lielu finansiālu ieguldījumu, kas atbilst 85 % no kopējām izmaksām 2 254 980 EUR apmērā, kuras ietver izdevumus par individualizētiem pakalpojumiem 2 168 980 EUR apmērā un izdevumus par sagatavošanās, pārvaldības, </w:t>
      </w:r>
      <w:r w:rsidRPr="00C72D65">
        <w:lastRenderedPageBreak/>
        <w:t>informācijas un publicitātes, kontroles un ziņošanas darbībām 86 000 EUR apmērā;</w:t>
      </w:r>
    </w:p>
    <w:p w14:paraId="63039622" w14:textId="77777777" w:rsidR="00273F53" w:rsidRPr="00C72D65" w:rsidRDefault="00273F53" w:rsidP="00273F53">
      <w:pPr>
        <w:pStyle w:val="NormalHanging12a"/>
      </w:pPr>
      <w:r w:rsidRPr="00C72D65">
        <w:t>2.</w:t>
      </w:r>
      <w:r w:rsidRPr="00C72D65">
        <w:tab/>
        <w:t>norāda, ka Beļģijas iestādes pieteikumu iesniedza 2025. gada 23. septembrī un pēc tam, kad Beļģija bija sniegusi papildu informāciju, Komisija pieteikuma novērtēšanu pabeidza 2026. gada 6. februārī un 2026. gada 11. februārī par to paziņoja Parlamentam; uzsver, ka ir svarīgi saīsināt laiku starp EGF atbalsta pieteikuma iesniegšanu un finansēšanas lēmuma pieņemšanu, vienlaikus pilnībā aizsargājot Eiropas Parlamenta tiesības kā vienai no budžeta lēmējinstitūcijas iestādēm;</w:t>
      </w:r>
    </w:p>
    <w:p w14:paraId="1BA37031" w14:textId="77777777" w:rsidR="00273F53" w:rsidRPr="00C72D65" w:rsidRDefault="00273F53" w:rsidP="00273F53">
      <w:pPr>
        <w:pStyle w:val="NormalHanging12a"/>
      </w:pPr>
      <w:r w:rsidRPr="00C72D65">
        <w:t>3.</w:t>
      </w:r>
      <w:r w:rsidRPr="00C72D65">
        <w:tab/>
        <w:t xml:space="preserve">norāda, ka pieteikums attiecas uz darba ņēmējiem, kuri vairs nav nodarbināti divos </w:t>
      </w:r>
      <w:proofErr w:type="spellStart"/>
      <w:r w:rsidRPr="00C72D65">
        <w:rPr>
          <w:i/>
          <w:iCs/>
        </w:rPr>
        <w:t>Casa</w:t>
      </w:r>
      <w:proofErr w:type="spellEnd"/>
      <w:r w:rsidRPr="00C72D65">
        <w:t xml:space="preserve"> uzņēmumos, un ka visi šie darba ņēmēji būs tiesīgi pretendēt uz atbalstu;</w:t>
      </w:r>
    </w:p>
    <w:p w14:paraId="6813D978" w14:textId="77777777" w:rsidR="00273F53" w:rsidRPr="00C72D65" w:rsidRDefault="00273F53" w:rsidP="00273F53">
      <w:pPr>
        <w:pStyle w:val="NormalHanging12a"/>
      </w:pPr>
      <w:r w:rsidRPr="00C72D65">
        <w:t>4.</w:t>
      </w:r>
      <w:r w:rsidRPr="00C72D65">
        <w:tab/>
        <w:t xml:space="preserve">pieņem zināšanai, ka vairākus gadus pirms bankrota pasludināšanas </w:t>
      </w:r>
      <w:proofErr w:type="spellStart"/>
      <w:r w:rsidRPr="00C72D65">
        <w:rPr>
          <w:i/>
          <w:iCs/>
        </w:rPr>
        <w:t>Casa</w:t>
      </w:r>
      <w:proofErr w:type="spellEnd"/>
      <w:r w:rsidRPr="00C72D65">
        <w:t xml:space="preserve"> </w:t>
      </w:r>
      <w:proofErr w:type="spellStart"/>
      <w:r w:rsidRPr="00C72D65">
        <w:t>saskārās</w:t>
      </w:r>
      <w:proofErr w:type="spellEnd"/>
      <w:r w:rsidRPr="00C72D65">
        <w:t xml:space="preserve"> ar finansiālām grūtībām, kas izrietēja no e-komercijas pieaugošās izplatības, pieaugošās starptautiskās konkurences un negodīgas konkurences apstākļiem, kas galu galā izraisīja nopietnu likviditātes trūkumu un nespēju identificēt uzņēmuma potenciālos pircējus; uzsver, ka ir jāuzlabo uzņēmumu vadības spēja novērst atlaišanu, pielāgojoties pašreizējam ģeopolitiskajam kontekstam, un </w:t>
      </w:r>
      <w:proofErr w:type="spellStart"/>
      <w:r w:rsidRPr="00C72D65">
        <w:t>proaktīvi</w:t>
      </w:r>
      <w:proofErr w:type="spellEnd"/>
      <w:r w:rsidRPr="00C72D65">
        <w:t xml:space="preserve"> tikt galā ar lieliem pārstrukturēšanas pasākumiem;</w:t>
      </w:r>
    </w:p>
    <w:p w14:paraId="5C8AD058" w14:textId="77777777" w:rsidR="00273F53" w:rsidRPr="00C72D65" w:rsidRDefault="00273F53" w:rsidP="00273F53">
      <w:pPr>
        <w:pStyle w:val="NormalHanging12a"/>
        <w:rPr>
          <w:noProof/>
        </w:rPr>
      </w:pPr>
      <w:r w:rsidRPr="00C72D65">
        <w:t>5.</w:t>
      </w:r>
      <w:r w:rsidRPr="00C72D65">
        <w:tab/>
        <w:t xml:space="preserve">norāda, ka, lai gan atlaistajiem pārdevējiem ir vislabvēlīgākās nodarbinātības izredzes, noliktavu darbinieki saskaras ar lielākām grūtībām atrast jaunus amatus un viņiem ir vajadzīgs papildu atbalsts, izmantojot kvalifikācijas celšanu, </w:t>
      </w:r>
      <w:proofErr w:type="spellStart"/>
      <w:r w:rsidRPr="00C72D65">
        <w:t>pārkvalifikāciju</w:t>
      </w:r>
      <w:proofErr w:type="spellEnd"/>
      <w:r w:rsidRPr="00C72D65">
        <w:t xml:space="preserve">, pārcelšanu vai pārcelšanu citā darbā; aicina Beļģijas iestādes sniegt īpaši pielāgotu atbalstu, lai palīdzētu darba ņēmējiem pārvarēt viņu trūkumus un atrast jaunu darbu, kas atbilst darba tirgus vajadzībām; uzsver, ka ir svarīgi </w:t>
      </w:r>
      <w:proofErr w:type="spellStart"/>
      <w:r w:rsidRPr="00C72D65">
        <w:t>reintegrēt</w:t>
      </w:r>
      <w:proofErr w:type="spellEnd"/>
      <w:r w:rsidRPr="00C72D65">
        <w:t xml:space="preserve"> atlaistos darbiniekus, lai veidotu nākotnes prasībām atbilstošu Eiropas ekonomiku ar spēcīgu rūpniecisko pamatu;</w:t>
      </w:r>
    </w:p>
    <w:p w14:paraId="5467B48E" w14:textId="77777777" w:rsidR="00273F53" w:rsidRPr="00C72D65" w:rsidRDefault="00273F53" w:rsidP="00273F53">
      <w:pPr>
        <w:pStyle w:val="NormalHanging12a"/>
      </w:pPr>
      <w:r w:rsidRPr="00C72D65">
        <w:t>6.</w:t>
      </w:r>
      <w:r w:rsidRPr="00C72D65">
        <w:tab/>
        <w:t xml:space="preserve">pieņem zināšanai, ka bankrota gadījumu skaita pieaugums pēdējo divu gadu laikā ir ievērojami palielinājis bezdarba līmeni vairākos Beļģijas reģionos, jo īpaši Briseles galvaspilsētas reģionā un </w:t>
      </w:r>
      <w:proofErr w:type="spellStart"/>
      <w:r w:rsidRPr="00C72D65">
        <w:t>Olenā</w:t>
      </w:r>
      <w:proofErr w:type="spellEnd"/>
      <w:r w:rsidRPr="00C72D65">
        <w:t xml:space="preserve"> (Antverpenes province); norāda, ka aptuveni 18 mēnešu laikā bankrotu dēļ Beļģijā, galvenokārt Flandrijā, tika zaudēti 45 000 darbvietu; uzsver, ka Flandrijā bezdarba risks ir vairāk nekā divas reizes lielāks cilvēkiem ar zemu izglītības līmeni; uzsver, cik svarīga ir uzņēmējdarbībai labvēlīga vide, kas ļauj uzņēmumiem saglabāt konkurētspēju, rada darbvietas un veicina ilgtspējīgu ekonomikas izaugsmi;</w:t>
      </w:r>
    </w:p>
    <w:p w14:paraId="29869DB4" w14:textId="77777777" w:rsidR="00273F53" w:rsidRPr="00C72D65" w:rsidRDefault="00273F53" w:rsidP="00273F53">
      <w:pPr>
        <w:pStyle w:val="NormalHanging12a"/>
      </w:pPr>
      <w:r w:rsidRPr="00C72D65">
        <w:t>7.</w:t>
      </w:r>
      <w:r w:rsidRPr="00C72D65">
        <w:tab/>
        <w:t xml:space="preserve">atgādina, ka saskaņā ar vienošanos ar ekspertiem un sociālajiem partneriem individualizētie pakalpojumi, kas sniedzami darba ņēmējiem, ietver šādus pasākumus: informatīvas sesijas, lai sniegtu norādījumus par reintegrāciju darba tirgū; profesionālās pārejas pakalpojumi, lai palīdzētu darba ņēmējiem darba meklējumos; aktīva </w:t>
      </w:r>
      <w:proofErr w:type="spellStart"/>
      <w:r w:rsidRPr="00C72D65">
        <w:t>mediācija</w:t>
      </w:r>
      <w:proofErr w:type="spellEnd"/>
      <w:r w:rsidRPr="00C72D65">
        <w:t xml:space="preserve">, koncentrējoties uz katra darba meklētāja profilu; personalizētas programmas prasmju, tostarp IT prasmju, attīstīšanai; apmācība un </w:t>
      </w:r>
      <w:proofErr w:type="spellStart"/>
      <w:r w:rsidRPr="00C72D65">
        <w:t>pārkvalifikācija</w:t>
      </w:r>
      <w:proofErr w:type="spellEnd"/>
      <w:r w:rsidRPr="00C72D65">
        <w:t xml:space="preserve">; individuāla apmācība darbavietā; dalība darbavietu gadatirgū; uzsver, ka ir svarīgi veicināt kvalitatīvas, uz nākotni orientētas darbvietas, kas stiprina konkurētspēju un atbalsta digitālo pārkārtošanos, vienlaikus nodrošinot, ka EGF tiek pienācīgi īstenots un veicina Savienības ilgtermiņa ekonomisko un sociālo noturību; uzsver, ka sociālie partneri būtu jāiesaista visā EGF pasākumu īstenošanas laikā, tostarp uzraudzības posmā, lai nodrošinātu atbalsta saņēmējiem piedāvātā atbalsta kvalitāti un atbilstību; </w:t>
      </w:r>
    </w:p>
    <w:p w14:paraId="2C5CCE5F" w14:textId="77777777" w:rsidR="00273F53" w:rsidRPr="00C72D65" w:rsidRDefault="00273F53" w:rsidP="00273F53">
      <w:pPr>
        <w:pStyle w:val="NormalHanging12a"/>
      </w:pPr>
      <w:r w:rsidRPr="00C72D65">
        <w:t>8.</w:t>
      </w:r>
      <w:r w:rsidRPr="00C72D65">
        <w:tab/>
        <w:t xml:space="preserve">atgādina, ka EGF ir solidaritātes un taisnīgas pārkārtošanās instruments un, lai gan tas </w:t>
      </w:r>
      <w:r w:rsidRPr="00C72D65">
        <w:lastRenderedPageBreak/>
        <w:t xml:space="preserve">sniedz atbalstu pēc darbvietu zaudēšanas, tas nevar aizstāt </w:t>
      </w:r>
      <w:proofErr w:type="spellStart"/>
      <w:r w:rsidRPr="00C72D65">
        <w:t>proaktīvu</w:t>
      </w:r>
      <w:proofErr w:type="spellEnd"/>
      <w:r w:rsidRPr="00C72D65">
        <w:t xml:space="preserve"> rūpniecības politiku; uzskata, ka EGF līdzekļu izmantošana ir jāiekļauj plašākā politikas pasākumu kopumā visos politiskajos līmeņos, lai nodrošinātu, ka skartie darba ņēmēji atrod pienācīgas nodarbinātības iespējas, kas atbilst viņu kvalifikācijai un prasmēm; uzsver, ka Savienības galvenajam uzdevumam ir jābūt šādu slēgšanas gadījumu novēršanai, radot apstākļus tam, lai varētu saglabāt rūpnieciskās ražošanas konkurētspēju, vienlaikus investējot gan augsti kvalificētu darba ņēmēju, gan rūpniecības darbinieku prasmēs; uzsver, ka ir jāsniedz šiem zema izglītības līmeņa darba ņēmēju profiliem pielāgots īpašs atbalsts, vienlaikus veicot pasākumus nolūkā samazināt bankrota gadījumu skaitu un novērst sociālās atšķirības, kas noved pie izslēgšanas no darba tirgus;</w:t>
      </w:r>
    </w:p>
    <w:p w14:paraId="7F65CD07" w14:textId="77777777" w:rsidR="00273F53" w:rsidRPr="00C72D65" w:rsidRDefault="00273F53" w:rsidP="00273F53">
      <w:pPr>
        <w:pStyle w:val="NormalHanging12a"/>
        <w:rPr>
          <w:bCs/>
          <w:iCs/>
        </w:rPr>
      </w:pPr>
      <w:r w:rsidRPr="00C72D65">
        <w:t>9.</w:t>
      </w:r>
      <w:r w:rsidRPr="00C72D65">
        <w:tab/>
        <w:t xml:space="preserve">uzsver, ka Beļģijas iestādēm ir jānodrošina Savienības finansējuma </w:t>
      </w:r>
      <w:proofErr w:type="spellStart"/>
      <w:r w:rsidRPr="00C72D65">
        <w:t>pamanāmība</w:t>
      </w:r>
      <w:proofErr w:type="spellEnd"/>
      <w:r w:rsidRPr="00C72D65">
        <w:t xml:space="preserve"> un jāuzsver tā pievienotā vērtība, sniedzot efektīvu un </w:t>
      </w:r>
      <w:proofErr w:type="spellStart"/>
      <w:r w:rsidRPr="00C72D65">
        <w:t>mērķorientētu</w:t>
      </w:r>
      <w:proofErr w:type="spellEnd"/>
      <w:r w:rsidRPr="00C72D65">
        <w:t xml:space="preserve"> informāciju labuma guvējiem, reģionālajām un vietējām iestādēm, sociālajiem partneriem un plašākai sabiedrībai;</w:t>
      </w:r>
    </w:p>
    <w:p w14:paraId="7F77806C" w14:textId="77777777" w:rsidR="00273F53" w:rsidRPr="00C72D65" w:rsidRDefault="00273F53" w:rsidP="00273F53">
      <w:pPr>
        <w:pStyle w:val="NormalHanging12a"/>
      </w:pPr>
      <w:r w:rsidRPr="00C72D65">
        <w:t>10.</w:t>
      </w:r>
      <w:r w:rsidRPr="00C72D65">
        <w:tab/>
        <w:t>prasa veikt rūpīgus īstenoto pasākumu galīgos novērtējumus, tostarp sniegt skaidru informāciju par to, kā līdzekļi ir izmantoti, par panākumiem darba ņēmēju reintegrācijā darba tirgū un par to, vai pasākumi ir sasnieguši mērķus, kuru sasniegšanai EGF ticis izveidots;</w:t>
      </w:r>
    </w:p>
    <w:p w14:paraId="2686AB3E" w14:textId="77777777" w:rsidR="00273F53" w:rsidRPr="00C72D65" w:rsidRDefault="00273F53" w:rsidP="00273F53">
      <w:pPr>
        <w:pStyle w:val="NormalHanging12a"/>
      </w:pPr>
      <w:r w:rsidRPr="00C72D65">
        <w:t>11.</w:t>
      </w:r>
      <w:r w:rsidRPr="00C72D65">
        <w:tab/>
        <w:t>pieņem zināšanai to, ka Beļģija sāka sniegt individualizētus pakalpojumus atbilstīgajiem labuma guvējiem 2025. gada 14. martā un ka tāpēc tiesības saņemt finansiālu ieguldījumu no EGF tiks nodrošinātas laikposmā, kas sākas minētajā dienā un beidzas 24 mēnešus pēc finansēšanas lēmuma spēkā stāšanās dienas;</w:t>
      </w:r>
    </w:p>
    <w:p w14:paraId="176434AE" w14:textId="77777777" w:rsidR="00273F53" w:rsidRPr="00C72D65" w:rsidRDefault="00273F53" w:rsidP="00273F53">
      <w:pPr>
        <w:pStyle w:val="NormalHanging12a"/>
        <w:rPr>
          <w:sz w:val="23"/>
          <w:szCs w:val="23"/>
        </w:rPr>
      </w:pPr>
      <w:r w:rsidRPr="00C72D65">
        <w:t>12.</w:t>
      </w:r>
      <w:r w:rsidRPr="00C72D65">
        <w:tab/>
        <w:t>norāda, ka administratīvie izdevumi saistībā ar EGF īstenošanu Beļģijai sāka rasties 2025. gada 6. martā un ka tāpēc attiecībā uz šādiem izdevumiem tiesības saņemt finansiālu ieguldījumu no EGF tiek nodrošinātas laikposmā, kas sākas minētajā datumā un beidzas 31 mēnesi pēc finansēšanas lēmuma spēkā stāšanās dienas;</w:t>
      </w:r>
    </w:p>
    <w:p w14:paraId="7A45B1CD" w14:textId="77777777" w:rsidR="00273F53" w:rsidRPr="00C72D65" w:rsidRDefault="00273F53" w:rsidP="00273F53">
      <w:pPr>
        <w:pStyle w:val="NormalHanging12a"/>
      </w:pPr>
      <w:r w:rsidRPr="00C72D65">
        <w:t>13.</w:t>
      </w:r>
      <w:r w:rsidRPr="00C72D65">
        <w:tab/>
        <w:t xml:space="preserve">pieņem zināšanai, ka Beļģijas iestādes ir sniegušas apstiprinājumu tam, ka, īstenojot ierosinātās darbības, tiks ievēroti vienlīdzīgas attieksmes un </w:t>
      </w:r>
      <w:proofErr w:type="spellStart"/>
      <w:r w:rsidRPr="00C72D65">
        <w:t>nediskriminācijas</w:t>
      </w:r>
      <w:proofErr w:type="spellEnd"/>
      <w:r w:rsidRPr="00C72D65">
        <w:t xml:space="preserve"> principi un novērsta jebkāda dubulta finansēšana;</w:t>
      </w:r>
    </w:p>
    <w:p w14:paraId="5EC30752" w14:textId="77777777" w:rsidR="00273F53" w:rsidRPr="00C72D65" w:rsidRDefault="00273F53" w:rsidP="00273F53">
      <w:pPr>
        <w:pStyle w:val="NormalHanging12a"/>
      </w:pPr>
      <w:r w:rsidRPr="00C72D65">
        <w:t>14.</w:t>
      </w:r>
      <w:r w:rsidRPr="00C72D65">
        <w:tab/>
        <w:t xml:space="preserve">atkārtoti norāda, ka palīdzība no EGF nedrīkst aizstāt darbības, par kurām saskaņā ar attiecīgās valsts tiesību aktiem vai koplīgumiem ir atbildīgas valsts sektora iestādes un uzņēmumi; atgādina, ka EGF ir ierobežots, </w:t>
      </w:r>
      <w:proofErr w:type="spellStart"/>
      <w:r w:rsidRPr="00C72D65">
        <w:t>mērķorientēts</w:t>
      </w:r>
      <w:proofErr w:type="spellEnd"/>
      <w:r w:rsidRPr="00C72D65">
        <w:t xml:space="preserve"> un papildinošs mehānisms;</w:t>
      </w:r>
    </w:p>
    <w:p w14:paraId="7AFCCCBF" w14:textId="77777777" w:rsidR="00273F53" w:rsidRPr="00C72D65" w:rsidRDefault="00273F53" w:rsidP="00273F53">
      <w:pPr>
        <w:pStyle w:val="NormalHanging12a"/>
      </w:pPr>
      <w:r w:rsidRPr="00C72D65">
        <w:t>15.</w:t>
      </w:r>
      <w:r w:rsidRPr="00C72D65">
        <w:tab/>
        <w:t>apstiprina šai rezolūcijai pievienoto lēmumu;</w:t>
      </w:r>
    </w:p>
    <w:p w14:paraId="4F47B42C" w14:textId="77777777" w:rsidR="00273F53" w:rsidRPr="00C72D65" w:rsidRDefault="00273F53" w:rsidP="00273F53">
      <w:pPr>
        <w:pStyle w:val="NormalHanging12a"/>
      </w:pPr>
      <w:r w:rsidRPr="00C72D65">
        <w:t>16.</w:t>
      </w:r>
      <w:r w:rsidRPr="00C72D65">
        <w:tab/>
        <w:t xml:space="preserve">uzdod priekšsēdētājai parakstīt šo lēmumu kopā ar Padomes priekšsēdētāju un nodrošināt tā publicēšanu </w:t>
      </w:r>
      <w:r w:rsidRPr="00C72D65">
        <w:rPr>
          <w:i/>
          <w:iCs/>
        </w:rPr>
        <w:t>Eiropas Savienības Oficiālajā Vēstnesī</w:t>
      </w:r>
      <w:r w:rsidRPr="00C72D65">
        <w:t>;</w:t>
      </w:r>
    </w:p>
    <w:p w14:paraId="0CD7CE56" w14:textId="77777777" w:rsidR="00273F53" w:rsidRPr="00C72D65" w:rsidRDefault="00273F53" w:rsidP="00273F53">
      <w:pPr>
        <w:pStyle w:val="NormalHanging12a"/>
      </w:pPr>
      <w:r w:rsidRPr="00C72D65">
        <w:t>17.</w:t>
      </w:r>
      <w:r w:rsidRPr="00C72D65">
        <w:tab/>
        <w:t>uzdod priekšsēdētājai šo rezolūciju, kā arī tās pielikumu nosūtīt Padomei un Komisijai.</w:t>
      </w:r>
    </w:p>
    <w:p w14:paraId="0C8AEC73" w14:textId="77777777" w:rsidR="00273F53" w:rsidRPr="00C72D65" w:rsidRDefault="00273F53" w:rsidP="00273F53">
      <w:pPr>
        <w:rPr>
          <w:noProof/>
        </w:rPr>
      </w:pPr>
    </w:p>
    <w:p w14:paraId="489DA40F" w14:textId="77777777" w:rsidR="00273F53" w:rsidRPr="00C72D65" w:rsidRDefault="00273F53" w:rsidP="00273F53">
      <w:pPr>
        <w:pStyle w:val="PageHeading"/>
        <w:rPr>
          <w:noProof/>
        </w:rPr>
        <w:sectPr w:rsidR="00273F53" w:rsidRPr="00C72D65" w:rsidSect="00265FE6">
          <w:headerReference w:type="even" r:id="rId9"/>
          <w:footerReference w:type="even"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A78D7AA" w14:textId="79D0E7E4" w:rsidR="007F56D0" w:rsidRDefault="00273F53" w:rsidP="00273F53">
      <w:pPr>
        <w:pStyle w:val="PageHeading"/>
      </w:pPr>
      <w:bookmarkStart w:id="6" w:name="_Toc224806575"/>
      <w:bookmarkStart w:id="7" w:name="_Hlk219192825"/>
      <w:r w:rsidRPr="00C72D65">
        <w:lastRenderedPageBreak/>
        <w:t>PIELIKUMS</w:t>
      </w:r>
    </w:p>
    <w:p w14:paraId="62ABBAB3" w14:textId="0F17432D" w:rsidR="00273F53" w:rsidRPr="00C72D65" w:rsidRDefault="00273F53" w:rsidP="00273F53">
      <w:pPr>
        <w:pStyle w:val="PageHeading"/>
      </w:pPr>
      <w:r w:rsidRPr="00C72D65">
        <w:t>EIROPAS PARLAMENTA UN PADOMES LĒMUMS</w:t>
      </w:r>
      <w:bookmarkEnd w:id="6"/>
    </w:p>
    <w:p w14:paraId="71264A67" w14:textId="14CBDC4C" w:rsidR="00273F53" w:rsidRDefault="007F56D0" w:rsidP="00273F53">
      <w:pPr>
        <w:pStyle w:val="Titreobjet"/>
      </w:pPr>
      <w:r w:rsidRPr="007F56D0">
        <w:rPr>
          <w:bCs/>
        </w:rPr>
        <w:t>par Eiropas Globalizācijas pielāgošanās fonda darbu zaudējušiem darba ņēmējiem izmantošanu saistībā ar Beļģijas iesniegto pieteikumu (EGF/2025/007 BE/</w:t>
      </w:r>
      <w:proofErr w:type="spellStart"/>
      <w:r w:rsidRPr="007F56D0">
        <w:rPr>
          <w:bCs/>
          <w:i/>
          <w:iCs/>
        </w:rPr>
        <w:t>Casa</w:t>
      </w:r>
      <w:proofErr w:type="spellEnd"/>
      <w:r w:rsidRPr="007F56D0">
        <w:rPr>
          <w:bCs/>
        </w:rPr>
        <w:t>)</w:t>
      </w:r>
    </w:p>
    <w:p w14:paraId="26A65CB0" w14:textId="66EE343E" w:rsidR="007F56D0" w:rsidRDefault="007F56D0" w:rsidP="007F56D0">
      <w:pPr>
        <w:pStyle w:val="Normal24Bold"/>
        <w:rPr>
          <w:b w:val="0"/>
          <w:i/>
          <w:iCs/>
          <w:noProof/>
        </w:rPr>
      </w:pPr>
      <w:r w:rsidRPr="00EB02AD">
        <w:rPr>
          <w:b w:val="0"/>
          <w:i/>
          <w:iCs/>
          <w:noProof/>
        </w:rPr>
        <w:t>(Šā</w:t>
      </w:r>
      <w:r>
        <w:rPr>
          <w:b w:val="0"/>
          <w:i/>
          <w:iCs/>
          <w:noProof/>
        </w:rPr>
        <w:t xml:space="preserve"> </w:t>
      </w:r>
      <w:r w:rsidRPr="00EB02AD">
        <w:rPr>
          <w:b w:val="0"/>
          <w:i/>
          <w:iCs/>
          <w:noProof/>
        </w:rPr>
        <w:t>pielikuma</w:t>
      </w:r>
      <w:r>
        <w:rPr>
          <w:b w:val="0"/>
          <w:i/>
          <w:iCs/>
          <w:noProof/>
        </w:rPr>
        <w:t xml:space="preserve"> </w:t>
      </w:r>
      <w:r w:rsidRPr="00EB02AD">
        <w:rPr>
          <w:b w:val="0"/>
          <w:i/>
          <w:iCs/>
          <w:noProof/>
        </w:rPr>
        <w:t>teksts</w:t>
      </w:r>
      <w:r>
        <w:rPr>
          <w:b w:val="0"/>
          <w:i/>
          <w:iCs/>
          <w:noProof/>
        </w:rPr>
        <w:t xml:space="preserve"> </w:t>
      </w:r>
      <w:r w:rsidRPr="00EB02AD">
        <w:rPr>
          <w:b w:val="0"/>
          <w:i/>
          <w:iCs/>
          <w:noProof/>
        </w:rPr>
        <w:t>šeit</w:t>
      </w:r>
      <w:r>
        <w:rPr>
          <w:b w:val="0"/>
          <w:i/>
          <w:iCs/>
          <w:noProof/>
        </w:rPr>
        <w:t xml:space="preserve"> </w:t>
      </w:r>
      <w:r w:rsidRPr="00EB02AD">
        <w:rPr>
          <w:b w:val="0"/>
          <w:i/>
          <w:iCs/>
          <w:noProof/>
        </w:rPr>
        <w:t>nav</w:t>
      </w:r>
      <w:r>
        <w:rPr>
          <w:b w:val="0"/>
          <w:i/>
          <w:iCs/>
          <w:noProof/>
        </w:rPr>
        <w:t xml:space="preserve"> </w:t>
      </w:r>
      <w:r w:rsidRPr="00EB02AD">
        <w:rPr>
          <w:b w:val="0"/>
          <w:i/>
          <w:iCs/>
          <w:noProof/>
        </w:rPr>
        <w:t>iekļauts,</w:t>
      </w:r>
      <w:r>
        <w:rPr>
          <w:b w:val="0"/>
          <w:i/>
          <w:iCs/>
          <w:noProof/>
        </w:rPr>
        <w:t xml:space="preserve"> </w:t>
      </w:r>
      <w:r w:rsidRPr="00EB02AD">
        <w:rPr>
          <w:b w:val="0"/>
          <w:i/>
          <w:iCs/>
          <w:noProof/>
        </w:rPr>
        <w:t>jo</w:t>
      </w:r>
      <w:r>
        <w:rPr>
          <w:b w:val="0"/>
          <w:i/>
          <w:iCs/>
          <w:noProof/>
        </w:rPr>
        <w:t xml:space="preserve"> </w:t>
      </w:r>
      <w:r w:rsidRPr="00EB02AD">
        <w:rPr>
          <w:b w:val="0"/>
          <w:i/>
          <w:iCs/>
          <w:noProof/>
        </w:rPr>
        <w:t>tas</w:t>
      </w:r>
      <w:r>
        <w:rPr>
          <w:b w:val="0"/>
          <w:i/>
          <w:iCs/>
          <w:noProof/>
        </w:rPr>
        <w:t xml:space="preserve"> </w:t>
      </w:r>
      <w:r w:rsidRPr="00EB02AD">
        <w:rPr>
          <w:b w:val="0"/>
          <w:i/>
          <w:iCs/>
          <w:noProof/>
        </w:rPr>
        <w:t>atbilst</w:t>
      </w:r>
      <w:r>
        <w:rPr>
          <w:b w:val="0"/>
          <w:i/>
          <w:iCs/>
          <w:noProof/>
        </w:rPr>
        <w:t xml:space="preserve"> </w:t>
      </w:r>
      <w:r w:rsidRPr="00EB02AD">
        <w:rPr>
          <w:b w:val="0"/>
          <w:i/>
          <w:iCs/>
          <w:noProof/>
        </w:rPr>
        <w:t>galīgajam</w:t>
      </w:r>
      <w:r>
        <w:rPr>
          <w:b w:val="0"/>
          <w:i/>
          <w:iCs/>
          <w:noProof/>
        </w:rPr>
        <w:t xml:space="preserve"> aktam </w:t>
      </w:r>
      <w:r w:rsidRPr="00EB02AD">
        <w:rPr>
          <w:b w:val="0"/>
          <w:i/>
          <w:iCs/>
          <w:noProof/>
        </w:rPr>
        <w:t>– Lēmumam</w:t>
      </w:r>
      <w:r>
        <w:rPr>
          <w:b w:val="0"/>
          <w:i/>
          <w:iCs/>
          <w:noProof/>
        </w:rPr>
        <w:t xml:space="preserve"> (ES) </w:t>
      </w:r>
      <w:r w:rsidRPr="007F56D0">
        <w:rPr>
          <w:b w:val="0"/>
          <w:i/>
          <w:iCs/>
          <w:noProof/>
        </w:rPr>
        <w:t>2026/851</w:t>
      </w:r>
      <w:r w:rsidRPr="00981C8E">
        <w:rPr>
          <w:b w:val="0"/>
          <w:i/>
          <w:iCs/>
          <w:noProof/>
        </w:rPr>
        <w:t>.</w:t>
      </w:r>
      <w:r w:rsidRPr="00EB02AD">
        <w:rPr>
          <w:b w:val="0"/>
          <w:i/>
          <w:iCs/>
          <w:noProof/>
        </w:rPr>
        <w:t>)</w:t>
      </w:r>
    </w:p>
    <w:p w14:paraId="3D129920" w14:textId="77777777" w:rsidR="007F56D0" w:rsidRPr="007F56D0" w:rsidRDefault="007F56D0" w:rsidP="007F56D0">
      <w:pPr>
        <w:rPr>
          <w:lang w:eastAsia="en-US"/>
        </w:rPr>
      </w:pPr>
    </w:p>
    <w:bookmarkEnd w:id="7"/>
    <w:sectPr w:rsidR="007F56D0" w:rsidRPr="007F56D0" w:rsidSect="00265FE6">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0ADFF" w14:textId="77777777" w:rsidR="002010C7" w:rsidRPr="00265FE6" w:rsidRDefault="002010C7">
      <w:r w:rsidRPr="00265FE6">
        <w:separator/>
      </w:r>
    </w:p>
  </w:endnote>
  <w:endnote w:type="continuationSeparator" w:id="0">
    <w:p w14:paraId="2FC18E51" w14:textId="77777777" w:rsidR="002010C7" w:rsidRPr="00265FE6" w:rsidRDefault="002010C7">
      <w:r w:rsidRPr="00265F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56D23" w14:textId="77777777" w:rsidR="00273F53" w:rsidRPr="00265FE6" w:rsidRDefault="00273F53" w:rsidP="00B401C8">
    <w:pPr>
      <w:pStyle w:val="EPFooter"/>
    </w:pPr>
    <w:r w:rsidRPr="00265FE6">
      <w:t>PE</w:t>
    </w:r>
    <w:r w:rsidRPr="00265FE6">
      <w:rPr>
        <w:rStyle w:val="HideTWBExt"/>
      </w:rPr>
      <w:t>&lt;</w:t>
    </w:r>
    <w:proofErr w:type="spellStart"/>
    <w:r w:rsidRPr="00265FE6">
      <w:rPr>
        <w:rStyle w:val="HideTWBExt"/>
      </w:rPr>
      <w:t>NoPE</w:t>
    </w:r>
    <w:proofErr w:type="spellEnd"/>
    <w:r w:rsidRPr="00265FE6">
      <w:rPr>
        <w:rStyle w:val="HideTWBExt"/>
      </w:rPr>
      <w:t>&gt;</w:t>
    </w:r>
    <w:r w:rsidRPr="00265FE6">
      <w:t>784.477</w:t>
    </w:r>
    <w:r w:rsidRPr="00265FE6">
      <w:rPr>
        <w:rStyle w:val="HideTWBExt"/>
      </w:rPr>
      <w:t>&lt;/</w:t>
    </w:r>
    <w:proofErr w:type="spellStart"/>
    <w:r w:rsidRPr="00265FE6">
      <w:rPr>
        <w:rStyle w:val="HideTWBExt"/>
      </w:rPr>
      <w:t>NoPE</w:t>
    </w:r>
    <w:proofErr w:type="spellEnd"/>
    <w:r w:rsidRPr="00265FE6">
      <w:rPr>
        <w:rStyle w:val="HideTWBExt"/>
      </w:rPr>
      <w:t>&gt;&lt;Version&gt;</w:t>
    </w:r>
    <w:r w:rsidRPr="00265FE6">
      <w:t>v02-00</w:t>
    </w:r>
    <w:r w:rsidRPr="00265FE6">
      <w:rPr>
        <w:rStyle w:val="HideTWBExt"/>
      </w:rPr>
      <w:t>&lt;/</w:t>
    </w:r>
    <w:proofErr w:type="spellStart"/>
    <w:r w:rsidRPr="00265FE6">
      <w:rPr>
        <w:rStyle w:val="HideTWBExt"/>
      </w:rPr>
      <w:t>Version</w:t>
    </w:r>
    <w:proofErr w:type="spellEnd"/>
    <w:r w:rsidRPr="00265FE6">
      <w:rPr>
        <w:rStyle w:val="HideTWBExt"/>
      </w:rPr>
      <w:t>&gt;</w:t>
    </w:r>
    <w:r w:rsidRPr="00265FE6">
      <w:tab/>
    </w:r>
    <w:r w:rsidRPr="00265FE6">
      <w:fldChar w:fldCharType="begin"/>
    </w:r>
    <w:r w:rsidRPr="00265FE6">
      <w:instrText xml:space="preserve"> PAGE  \* MERGEFORMAT </w:instrText>
    </w:r>
    <w:r w:rsidRPr="00265FE6">
      <w:fldChar w:fldCharType="separate"/>
    </w:r>
    <w:r w:rsidRPr="00265FE6">
      <w:rPr>
        <w:noProof/>
      </w:rPr>
      <w:t>2</w:t>
    </w:r>
    <w:r w:rsidRPr="00265FE6">
      <w:fldChar w:fldCharType="end"/>
    </w:r>
    <w:r w:rsidRPr="00265FE6">
      <w:t>/</w:t>
    </w:r>
    <w:fldSimple w:instr=" NUMPAGES  \* MERGEFORMAT ">
      <w:r w:rsidRPr="00265FE6">
        <w:rPr>
          <w:noProof/>
        </w:rPr>
        <w:t>19</w:t>
      </w:r>
    </w:fldSimple>
    <w:r w:rsidRPr="00265FE6">
      <w:tab/>
    </w:r>
    <w:r w:rsidRPr="00265FE6">
      <w:rPr>
        <w:rStyle w:val="HideTWBExt"/>
      </w:rPr>
      <w:t>&lt;PathFdR&gt;</w:t>
    </w:r>
    <w:r w:rsidRPr="00265FE6">
      <w:t>RR\1339712LV.docx</w:t>
    </w:r>
    <w:r w:rsidRPr="00265FE6">
      <w:rPr>
        <w:rStyle w:val="HideTWBExt"/>
      </w:rPr>
      <w:t>&lt;/</w:t>
    </w:r>
    <w:proofErr w:type="spellStart"/>
    <w:r w:rsidRPr="00265FE6">
      <w:rPr>
        <w:rStyle w:val="HideTWBExt"/>
      </w:rPr>
      <w:t>PathFdR</w:t>
    </w:r>
    <w:proofErr w:type="spellEnd"/>
    <w:r w:rsidRPr="00265FE6">
      <w:rPr>
        <w:rStyle w:val="HideTWBExt"/>
      </w:rPr>
      <w:t>&gt;</w:t>
    </w:r>
  </w:p>
  <w:p w14:paraId="4BD88B44" w14:textId="77777777" w:rsidR="00273F53" w:rsidRPr="00265FE6" w:rsidRDefault="00273F53" w:rsidP="00B401C8">
    <w:pPr>
      <w:pStyle w:val="EPFooter2"/>
    </w:pPr>
    <w:r w:rsidRPr="00265FE6">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3B4A1" w14:textId="77777777" w:rsidR="00273F53" w:rsidRPr="00265FE6" w:rsidRDefault="00273F53" w:rsidP="00B401C8">
    <w:pPr>
      <w:pStyle w:val="EPFooter"/>
    </w:pPr>
    <w:r w:rsidRPr="00265FE6">
      <w:rPr>
        <w:rStyle w:val="HideTWBExt"/>
      </w:rPr>
      <w:t>&lt;PathFdR&gt;</w:t>
    </w:r>
    <w:r w:rsidRPr="00265FE6">
      <w:t>RR\1339712LV.docx</w:t>
    </w:r>
    <w:r w:rsidRPr="00265FE6">
      <w:rPr>
        <w:rStyle w:val="HideTWBExt"/>
      </w:rPr>
      <w:t>&lt;/</w:t>
    </w:r>
    <w:proofErr w:type="spellStart"/>
    <w:r w:rsidRPr="00265FE6">
      <w:rPr>
        <w:rStyle w:val="HideTWBExt"/>
      </w:rPr>
      <w:t>PathFdR</w:t>
    </w:r>
    <w:proofErr w:type="spellEnd"/>
    <w:r w:rsidRPr="00265FE6">
      <w:rPr>
        <w:rStyle w:val="HideTWBExt"/>
      </w:rPr>
      <w:t>&gt;</w:t>
    </w:r>
    <w:r w:rsidRPr="00265FE6">
      <w:tab/>
    </w:r>
    <w:r w:rsidRPr="00265FE6">
      <w:tab/>
      <w:t>PE</w:t>
    </w:r>
    <w:r w:rsidRPr="00265FE6">
      <w:rPr>
        <w:rStyle w:val="HideTWBExt"/>
      </w:rPr>
      <w:t>&lt;</w:t>
    </w:r>
    <w:proofErr w:type="spellStart"/>
    <w:r w:rsidRPr="00265FE6">
      <w:rPr>
        <w:rStyle w:val="HideTWBExt"/>
      </w:rPr>
      <w:t>NoPE</w:t>
    </w:r>
    <w:proofErr w:type="spellEnd"/>
    <w:r w:rsidRPr="00265FE6">
      <w:rPr>
        <w:rStyle w:val="HideTWBExt"/>
      </w:rPr>
      <w:t>&gt;</w:t>
    </w:r>
    <w:r w:rsidRPr="00265FE6">
      <w:t>784.477</w:t>
    </w:r>
    <w:r w:rsidRPr="00265FE6">
      <w:rPr>
        <w:rStyle w:val="HideTWBExt"/>
      </w:rPr>
      <w:t>&lt;/</w:t>
    </w:r>
    <w:proofErr w:type="spellStart"/>
    <w:r w:rsidRPr="00265FE6">
      <w:rPr>
        <w:rStyle w:val="HideTWBExt"/>
      </w:rPr>
      <w:t>NoPE</w:t>
    </w:r>
    <w:proofErr w:type="spellEnd"/>
    <w:r w:rsidRPr="00265FE6">
      <w:rPr>
        <w:rStyle w:val="HideTWBExt"/>
      </w:rPr>
      <w:t>&gt;&lt;Version&gt;</w:t>
    </w:r>
    <w:r w:rsidRPr="00265FE6">
      <w:t>v02-00</w:t>
    </w:r>
    <w:r w:rsidRPr="00265FE6">
      <w:rPr>
        <w:rStyle w:val="HideTWBExt"/>
      </w:rPr>
      <w:t>&lt;/</w:t>
    </w:r>
    <w:proofErr w:type="spellStart"/>
    <w:r w:rsidRPr="00265FE6">
      <w:rPr>
        <w:rStyle w:val="HideTWBExt"/>
      </w:rPr>
      <w:t>Version</w:t>
    </w:r>
    <w:proofErr w:type="spellEnd"/>
    <w:r w:rsidRPr="00265FE6">
      <w:rPr>
        <w:rStyle w:val="HideTWBExt"/>
      </w:rPr>
      <w:t>&gt;</w:t>
    </w:r>
  </w:p>
  <w:p w14:paraId="48B54347" w14:textId="77777777" w:rsidR="00273F53" w:rsidRPr="00265FE6" w:rsidRDefault="00273F53" w:rsidP="00B401C8">
    <w:pPr>
      <w:pStyle w:val="EPFooter2"/>
    </w:pPr>
    <w:r w:rsidRPr="00265FE6">
      <w:t>LV</w:t>
    </w:r>
    <w:r w:rsidRPr="00265FE6">
      <w:tab/>
    </w:r>
    <w:r w:rsidRPr="00265FE6">
      <w:rPr>
        <w:b w:val="0"/>
        <w:i/>
        <w:color w:val="C0C0C0"/>
        <w:sz w:val="22"/>
      </w:rPr>
      <w:t>Vienoti daudzveidībā</w:t>
    </w:r>
    <w:r w:rsidRPr="00265FE6">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874A5" w14:textId="77777777" w:rsidR="00064002" w:rsidRPr="00265FE6"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5950D" w14:textId="77777777" w:rsidR="00064002" w:rsidRPr="00265FE6"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988AF" w14:textId="77777777" w:rsidR="00064002" w:rsidRPr="00265F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EEEB1" w14:textId="77777777" w:rsidR="002010C7" w:rsidRPr="00265FE6" w:rsidRDefault="002010C7">
      <w:r w:rsidRPr="00265FE6">
        <w:separator/>
      </w:r>
    </w:p>
  </w:footnote>
  <w:footnote w:type="continuationSeparator" w:id="0">
    <w:p w14:paraId="6C2C86DA" w14:textId="77777777" w:rsidR="002010C7" w:rsidRPr="00265FE6" w:rsidRDefault="002010C7">
      <w:r w:rsidRPr="00265FE6">
        <w:continuationSeparator/>
      </w:r>
    </w:p>
  </w:footnote>
  <w:footnote w:id="1">
    <w:p w14:paraId="21D93D25" w14:textId="3BEECE15" w:rsidR="00273F53" w:rsidRPr="00265FE6" w:rsidRDefault="00273F53" w:rsidP="00265FE6">
      <w:pPr>
        <w:pStyle w:val="FootnoteText"/>
        <w:ind w:left="567" w:hanging="567"/>
        <w:rPr>
          <w:sz w:val="24"/>
          <w:lang w:val="lv-LV"/>
        </w:rPr>
      </w:pPr>
      <w:r w:rsidRPr="00265FE6">
        <w:rPr>
          <w:rStyle w:val="FootnoteReference"/>
          <w:sz w:val="24"/>
          <w:lang w:val="lv-LV"/>
        </w:rPr>
        <w:footnoteRef/>
      </w:r>
      <w:r w:rsidR="00265FE6" w:rsidRPr="00265FE6">
        <w:rPr>
          <w:sz w:val="24"/>
          <w:lang w:val="lv-LV"/>
        </w:rPr>
        <w:t xml:space="preserve"> </w:t>
      </w:r>
      <w:r w:rsidR="00265FE6" w:rsidRPr="00265FE6">
        <w:rPr>
          <w:sz w:val="24"/>
          <w:lang w:val="lv-LV"/>
        </w:rPr>
        <w:tab/>
      </w:r>
      <w:r w:rsidRPr="00265FE6">
        <w:rPr>
          <w:sz w:val="24"/>
          <w:lang w:val="lv-LV"/>
        </w:rPr>
        <w:t xml:space="preserve">OV L 153, 3.5.2021., 48. lpp., ELI: </w:t>
      </w:r>
      <w:hyperlink r:id="rId1" w:history="1">
        <w:r w:rsidRPr="00265FE6">
          <w:rPr>
            <w:rStyle w:val="Hyperlink"/>
            <w:sz w:val="24"/>
            <w:lang w:val="lv-LV"/>
          </w:rPr>
          <w:t>http://data.europa.eu/eli/reg/2021/691/oj</w:t>
        </w:r>
      </w:hyperlink>
      <w:r w:rsidRPr="00265FE6">
        <w:rPr>
          <w:sz w:val="24"/>
          <w:lang w:val="lv-LV"/>
        </w:rPr>
        <w:t>.</w:t>
      </w:r>
    </w:p>
  </w:footnote>
  <w:footnote w:id="2">
    <w:p w14:paraId="260B77F4" w14:textId="5BDA56B2" w:rsidR="00273F53" w:rsidRPr="00265FE6" w:rsidRDefault="00273F53" w:rsidP="00265FE6">
      <w:pPr>
        <w:pStyle w:val="FootnoteText"/>
        <w:ind w:left="567" w:hanging="567"/>
        <w:rPr>
          <w:sz w:val="24"/>
          <w:lang w:val="lv-LV"/>
        </w:rPr>
      </w:pPr>
      <w:r w:rsidRPr="00265FE6">
        <w:rPr>
          <w:rStyle w:val="FootnoteReference"/>
          <w:sz w:val="24"/>
          <w:lang w:val="lv-LV"/>
        </w:rPr>
        <w:footnoteRef/>
      </w:r>
      <w:r w:rsidR="00265FE6" w:rsidRPr="00265FE6">
        <w:rPr>
          <w:sz w:val="24"/>
          <w:lang w:val="lv-LV"/>
        </w:rPr>
        <w:t xml:space="preserve"> </w:t>
      </w:r>
      <w:r w:rsidR="00265FE6" w:rsidRPr="00265FE6">
        <w:rPr>
          <w:sz w:val="24"/>
          <w:lang w:val="lv-LV"/>
        </w:rPr>
        <w:tab/>
      </w:r>
      <w:r w:rsidRPr="00265FE6">
        <w:rPr>
          <w:sz w:val="24"/>
          <w:lang w:val="lv-LV"/>
        </w:rPr>
        <w:t>OV L 433 I, 22.12.2020., 11. </w:t>
      </w:r>
      <w:r w:rsidRPr="00265FE6">
        <w:rPr>
          <w:sz w:val="24"/>
          <w:lang w:val="lv-LV"/>
        </w:rPr>
        <w:t xml:space="preserve">lpp., ELI: </w:t>
      </w:r>
      <w:hyperlink r:id="rId2" w:history="1">
        <w:r w:rsidRPr="00265FE6">
          <w:rPr>
            <w:rStyle w:val="Hyperlink"/>
            <w:sz w:val="24"/>
            <w:lang w:val="lv-LV"/>
          </w:rPr>
          <w:t>http://data.europa.eu/eli/reg/2020/2093/oj</w:t>
        </w:r>
      </w:hyperlink>
      <w:r w:rsidRPr="00265FE6">
        <w:rPr>
          <w:sz w:val="24"/>
          <w:lang w:val="lv-LV"/>
        </w:rPr>
        <w:t>.</w:t>
      </w:r>
    </w:p>
  </w:footnote>
  <w:footnote w:id="3">
    <w:p w14:paraId="2105985F" w14:textId="552242CB" w:rsidR="00273F53" w:rsidRPr="00265FE6" w:rsidRDefault="00273F53" w:rsidP="00265FE6">
      <w:pPr>
        <w:pStyle w:val="FootnoteText"/>
        <w:ind w:left="567" w:hanging="567"/>
        <w:rPr>
          <w:sz w:val="24"/>
          <w:lang w:val="lv-LV"/>
        </w:rPr>
      </w:pPr>
      <w:r w:rsidRPr="00265FE6">
        <w:rPr>
          <w:rStyle w:val="FootnoteReference"/>
          <w:sz w:val="24"/>
          <w:lang w:val="lv-LV"/>
        </w:rPr>
        <w:footnoteRef/>
      </w:r>
      <w:r w:rsidR="00265FE6" w:rsidRPr="00265FE6">
        <w:rPr>
          <w:sz w:val="24"/>
          <w:shd w:val="clear" w:color="auto" w:fill="FFFFFF"/>
          <w:lang w:val="lv-LV"/>
        </w:rPr>
        <w:t xml:space="preserve"> </w:t>
      </w:r>
      <w:r w:rsidR="00265FE6" w:rsidRPr="00265FE6">
        <w:rPr>
          <w:sz w:val="24"/>
          <w:shd w:val="clear" w:color="auto" w:fill="FFFFFF"/>
          <w:lang w:val="lv-LV"/>
        </w:rPr>
        <w:tab/>
      </w:r>
      <w:r w:rsidRPr="00265FE6">
        <w:rPr>
          <w:sz w:val="24"/>
          <w:shd w:val="clear" w:color="auto" w:fill="FFFFFF"/>
          <w:lang w:val="lv-LV"/>
        </w:rPr>
        <w:t xml:space="preserve">Padomes Regula (ES, </w:t>
      </w:r>
      <w:r w:rsidRPr="00265FE6">
        <w:rPr>
          <w:i/>
          <w:iCs/>
          <w:sz w:val="24"/>
          <w:shd w:val="clear" w:color="auto" w:fill="FFFFFF"/>
          <w:lang w:val="lv-LV"/>
        </w:rPr>
        <w:t>Euratom</w:t>
      </w:r>
      <w:r w:rsidRPr="00265FE6">
        <w:rPr>
          <w:sz w:val="24"/>
          <w:shd w:val="clear" w:color="auto" w:fill="FFFFFF"/>
          <w:lang w:val="lv-LV"/>
        </w:rPr>
        <w:t xml:space="preserve">) 2024/765 (2024. gada 29. februāris), ar kuru groza Regulu (ES, </w:t>
      </w:r>
      <w:r w:rsidRPr="00265FE6">
        <w:rPr>
          <w:i/>
          <w:iCs/>
          <w:sz w:val="24"/>
          <w:shd w:val="clear" w:color="auto" w:fill="FFFFFF"/>
          <w:lang w:val="lv-LV"/>
        </w:rPr>
        <w:t>Euratom</w:t>
      </w:r>
      <w:r w:rsidRPr="00265FE6">
        <w:rPr>
          <w:sz w:val="24"/>
          <w:shd w:val="clear" w:color="auto" w:fill="FFFFFF"/>
          <w:lang w:val="lv-LV"/>
        </w:rPr>
        <w:t>) 2020/2093, ar ko nosaka daudzgadu finanšu shēmu 2021.–2027. </w:t>
      </w:r>
      <w:r w:rsidRPr="00265FE6">
        <w:rPr>
          <w:sz w:val="24"/>
          <w:shd w:val="clear" w:color="auto" w:fill="FFFFFF"/>
          <w:lang w:val="lv-LV"/>
        </w:rPr>
        <w:t>gadam (OV L, 2024/765, 29.2.2024., ELI:</w:t>
      </w:r>
      <w:r w:rsidRPr="00265FE6">
        <w:rPr>
          <w:color w:val="333333"/>
          <w:sz w:val="24"/>
          <w:shd w:val="clear" w:color="auto" w:fill="FFFFFF"/>
          <w:lang w:val="lv-LV"/>
        </w:rPr>
        <w:t xml:space="preserve"> </w:t>
      </w:r>
      <w:hyperlink r:id="rId3" w:history="1">
        <w:r w:rsidRPr="00265FE6">
          <w:rPr>
            <w:rStyle w:val="Hyperlink"/>
            <w:sz w:val="24"/>
            <w:shd w:val="clear" w:color="auto" w:fill="FFFFFF"/>
            <w:lang w:val="lv-LV"/>
          </w:rPr>
          <w:t>http://data.europa.eu/eli/reg/2024/765/oj</w:t>
        </w:r>
      </w:hyperlink>
      <w:r w:rsidRPr="00265FE6">
        <w:rPr>
          <w:i/>
          <w:color w:val="333333"/>
          <w:sz w:val="24"/>
          <w:shd w:val="clear" w:color="auto" w:fill="FFFFFF"/>
          <w:lang w:val="lv-LV"/>
        </w:rPr>
        <w:t>).</w:t>
      </w:r>
    </w:p>
  </w:footnote>
  <w:footnote w:id="4">
    <w:p w14:paraId="6EB327FC" w14:textId="4AAFE183" w:rsidR="00273F53" w:rsidRPr="00265FE6" w:rsidRDefault="00273F53" w:rsidP="00265FE6">
      <w:pPr>
        <w:pStyle w:val="FootnoteText"/>
        <w:ind w:left="567" w:hanging="567"/>
        <w:rPr>
          <w:sz w:val="24"/>
          <w:lang w:val="lv-LV"/>
        </w:rPr>
      </w:pPr>
      <w:r w:rsidRPr="00265FE6">
        <w:rPr>
          <w:rStyle w:val="FootnoteReference"/>
          <w:sz w:val="24"/>
          <w:lang w:val="lv-LV"/>
        </w:rPr>
        <w:footnoteRef/>
      </w:r>
      <w:r w:rsidR="00265FE6" w:rsidRPr="00265FE6">
        <w:rPr>
          <w:sz w:val="24"/>
          <w:lang w:val="lv-LV"/>
        </w:rPr>
        <w:t xml:space="preserve"> </w:t>
      </w:r>
      <w:r w:rsidR="00265FE6" w:rsidRPr="00265FE6">
        <w:rPr>
          <w:sz w:val="24"/>
          <w:lang w:val="lv-LV"/>
        </w:rPr>
        <w:tab/>
      </w:r>
      <w:r w:rsidRPr="00265FE6">
        <w:rPr>
          <w:sz w:val="24"/>
          <w:lang w:val="lv-LV"/>
        </w:rPr>
        <w:t>OV L 433 I, 22.12.2020., 28. </w:t>
      </w:r>
      <w:r w:rsidRPr="00265FE6">
        <w:rPr>
          <w:sz w:val="24"/>
          <w:lang w:val="lv-LV"/>
        </w:rPr>
        <w:t xml:space="preserve">lpp., ELI: </w:t>
      </w:r>
      <w:hyperlink r:id="rId4" w:history="1">
        <w:r w:rsidRPr="00265FE6">
          <w:rPr>
            <w:rStyle w:val="Hyperlink"/>
            <w:sz w:val="24"/>
            <w:lang w:val="lv-LV"/>
          </w:rPr>
          <w:t>http://data.europa.eu/eli/agree_interinstit/2020/1222/oj</w:t>
        </w:r>
      </w:hyperlink>
      <w:r w:rsidRPr="00265FE6">
        <w:rPr>
          <w:sz w:val="24"/>
          <w:lang w:val="lv-LV"/>
        </w:rPr>
        <w:t>.</w:t>
      </w:r>
    </w:p>
  </w:footnote>
  <w:footnote w:id="5">
    <w:p w14:paraId="6A11E694" w14:textId="24C5411C" w:rsidR="00273F53" w:rsidRPr="00265FE6" w:rsidRDefault="00273F53" w:rsidP="00265FE6">
      <w:pPr>
        <w:pStyle w:val="FootnoteText"/>
        <w:ind w:left="567" w:hanging="567"/>
        <w:rPr>
          <w:sz w:val="24"/>
          <w:lang w:val="lv-LV"/>
        </w:rPr>
      </w:pPr>
      <w:r w:rsidRPr="00265FE6">
        <w:rPr>
          <w:rStyle w:val="FootnoteReference"/>
          <w:sz w:val="24"/>
          <w:lang w:val="lv-LV"/>
        </w:rPr>
        <w:footnoteRef/>
      </w:r>
      <w:r w:rsidR="00265FE6" w:rsidRPr="00265FE6">
        <w:rPr>
          <w:sz w:val="24"/>
          <w:lang w:val="lv-LV"/>
        </w:rPr>
        <w:t xml:space="preserve"> </w:t>
      </w:r>
      <w:r w:rsidR="00265FE6" w:rsidRPr="00265FE6">
        <w:rPr>
          <w:sz w:val="24"/>
          <w:lang w:val="lv-LV"/>
        </w:rPr>
        <w:tab/>
      </w:r>
      <w:r w:rsidRPr="00265FE6">
        <w:rPr>
          <w:sz w:val="24"/>
          <w:lang w:val="lv-LV"/>
        </w:rPr>
        <w:t>EGF regulas 3. panta nozīmē.</w:t>
      </w:r>
    </w:p>
  </w:footnote>
  <w:footnote w:id="6">
    <w:p w14:paraId="4BC7BBAB" w14:textId="72743CD8" w:rsidR="00273F53" w:rsidRPr="00265FE6" w:rsidRDefault="00273F53" w:rsidP="00265FE6">
      <w:pPr>
        <w:pStyle w:val="FootnoteText"/>
        <w:ind w:left="567" w:hanging="567"/>
        <w:rPr>
          <w:sz w:val="24"/>
          <w:lang w:val="lv-LV"/>
        </w:rPr>
      </w:pPr>
      <w:r w:rsidRPr="00265FE6">
        <w:rPr>
          <w:rStyle w:val="FootnoteReference"/>
          <w:sz w:val="24"/>
          <w:lang w:val="lv-LV"/>
        </w:rPr>
        <w:footnoteRef/>
      </w:r>
      <w:r w:rsidR="00265FE6" w:rsidRPr="00265FE6">
        <w:rPr>
          <w:sz w:val="24"/>
          <w:lang w:val="lv-LV"/>
        </w:rPr>
        <w:t xml:space="preserve"> </w:t>
      </w:r>
      <w:r w:rsidR="00265FE6" w:rsidRPr="00265FE6">
        <w:rPr>
          <w:sz w:val="24"/>
          <w:lang w:val="lv-LV"/>
        </w:rPr>
        <w:tab/>
      </w:r>
      <w:r w:rsidRPr="00265FE6">
        <w:rPr>
          <w:sz w:val="24"/>
          <w:lang w:val="lv-LV"/>
        </w:rPr>
        <w:t>DFS regulas 8. pants.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B2CCD" w14:textId="77777777" w:rsidR="00273F53" w:rsidRPr="00265FE6" w:rsidRDefault="00273F53">
    <w:pPr>
      <w:pStyle w:val="Header"/>
    </w:pPr>
  </w:p>
  <w:p w14:paraId="799277FB" w14:textId="77777777" w:rsidR="00273F53" w:rsidRPr="00265FE6" w:rsidRDefault="00273F53"/>
  <w:p w14:paraId="0311CB47" w14:textId="77777777" w:rsidR="00273F53" w:rsidRPr="00265FE6" w:rsidRDefault="00273F5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0ABAC" w14:textId="77777777" w:rsidR="00064002" w:rsidRPr="00265FE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BE746" w14:textId="77777777" w:rsidR="00064002" w:rsidRPr="00265FE6" w:rsidRDefault="0006400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877B1" w14:textId="77777777" w:rsidR="00064002" w:rsidRPr="00265F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94498725">
    <w:abstractNumId w:val="9"/>
  </w:num>
  <w:num w:numId="2" w16cid:durableId="503478241">
    <w:abstractNumId w:val="9"/>
  </w:num>
  <w:num w:numId="3" w16cid:durableId="1844321307">
    <w:abstractNumId w:val="7"/>
  </w:num>
  <w:num w:numId="4" w16cid:durableId="171534835">
    <w:abstractNumId w:val="7"/>
  </w:num>
  <w:num w:numId="5" w16cid:durableId="25568306">
    <w:abstractNumId w:val="6"/>
  </w:num>
  <w:num w:numId="6" w16cid:durableId="2125223722">
    <w:abstractNumId w:val="6"/>
  </w:num>
  <w:num w:numId="7" w16cid:durableId="1044794476">
    <w:abstractNumId w:val="5"/>
  </w:num>
  <w:num w:numId="8" w16cid:durableId="744112052">
    <w:abstractNumId w:val="5"/>
  </w:num>
  <w:num w:numId="9" w16cid:durableId="956444207">
    <w:abstractNumId w:val="4"/>
  </w:num>
  <w:num w:numId="10" w16cid:durableId="382094577">
    <w:abstractNumId w:val="4"/>
  </w:num>
  <w:num w:numId="11" w16cid:durableId="716317527">
    <w:abstractNumId w:val="8"/>
  </w:num>
  <w:num w:numId="12" w16cid:durableId="1216351758">
    <w:abstractNumId w:val="8"/>
  </w:num>
  <w:num w:numId="13" w16cid:durableId="394820491">
    <w:abstractNumId w:val="3"/>
  </w:num>
  <w:num w:numId="14" w16cid:durableId="1311524207">
    <w:abstractNumId w:val="3"/>
  </w:num>
  <w:num w:numId="15" w16cid:durableId="140780582">
    <w:abstractNumId w:val="2"/>
  </w:num>
  <w:num w:numId="16" w16cid:durableId="96415584">
    <w:abstractNumId w:val="2"/>
  </w:num>
  <w:num w:numId="17" w16cid:durableId="810171645">
    <w:abstractNumId w:val="1"/>
  </w:num>
  <w:num w:numId="18" w16cid:durableId="2063092996">
    <w:abstractNumId w:val="1"/>
  </w:num>
  <w:num w:numId="19" w16cid:durableId="1662391246">
    <w:abstractNumId w:val="0"/>
  </w:num>
  <w:num w:numId="20" w16cid:durableId="211425781">
    <w:abstractNumId w:val="0"/>
  </w:num>
  <w:num w:numId="21" w16cid:durableId="1821457710">
    <w:abstractNumId w:val="9"/>
  </w:num>
  <w:num w:numId="22" w16cid:durableId="1209150156">
    <w:abstractNumId w:val="7"/>
  </w:num>
  <w:num w:numId="23" w16cid:durableId="1750693603">
    <w:abstractNumId w:val="6"/>
  </w:num>
  <w:num w:numId="24" w16cid:durableId="1544171951">
    <w:abstractNumId w:val="5"/>
  </w:num>
  <w:num w:numId="25" w16cid:durableId="1648634241">
    <w:abstractNumId w:val="4"/>
  </w:num>
  <w:num w:numId="26" w16cid:durableId="1472015024">
    <w:abstractNumId w:val="8"/>
  </w:num>
  <w:num w:numId="27" w16cid:durableId="1547713944">
    <w:abstractNumId w:val="3"/>
  </w:num>
  <w:num w:numId="28" w16cid:durableId="1709721574">
    <w:abstractNumId w:val="2"/>
  </w:num>
  <w:num w:numId="29" w16cid:durableId="976182386">
    <w:abstractNumId w:val="1"/>
  </w:num>
  <w:num w:numId="30" w16cid:durableId="1719471168">
    <w:abstractNumId w:val="0"/>
  </w:num>
  <w:num w:numId="31" w16cid:durableId="1372652544">
    <w:abstractNumId w:val="9"/>
  </w:num>
  <w:num w:numId="32" w16cid:durableId="1824158441">
    <w:abstractNumId w:val="7"/>
  </w:num>
  <w:num w:numId="33" w16cid:durableId="1899582960">
    <w:abstractNumId w:val="6"/>
  </w:num>
  <w:num w:numId="34" w16cid:durableId="872234726">
    <w:abstractNumId w:val="5"/>
  </w:num>
  <w:num w:numId="35" w16cid:durableId="2040398237">
    <w:abstractNumId w:val="4"/>
  </w:num>
  <w:num w:numId="36" w16cid:durableId="1758869064">
    <w:abstractNumId w:val="8"/>
  </w:num>
  <w:num w:numId="37" w16cid:durableId="796722953">
    <w:abstractNumId w:val="3"/>
  </w:num>
  <w:num w:numId="38" w16cid:durableId="2102676749">
    <w:abstractNumId w:val="2"/>
  </w:num>
  <w:num w:numId="39" w16cid:durableId="2102215501">
    <w:abstractNumId w:val="1"/>
  </w:num>
  <w:num w:numId="40" w16cid:durableId="2008556334">
    <w:abstractNumId w:val="0"/>
  </w:num>
  <w:num w:numId="41" w16cid:durableId="615335514">
    <w:abstractNumId w:val="10"/>
  </w:num>
  <w:num w:numId="42" w16cid:durableId="2037730435">
    <w:abstractNumId w:val="10"/>
  </w:num>
  <w:num w:numId="43" w16cid:durableId="328171010">
    <w:abstractNumId w:val="10"/>
  </w:num>
  <w:num w:numId="44" w16cid:durableId="13427755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1/2026"/>
    <w:docVar w:name="dvlangue" w:val="LV"/>
    <w:docVar w:name="dvnumam" w:val="0"/>
    <w:docVar w:name="dvpe" w:val="784.477"/>
    <w:docVar w:name="dvrapporteur" w:val="Referents: "/>
    <w:docVar w:name="dvtitre" w:val="Eiropas Parlamenta 2026. gada XX. XXX normatīvā rezolūcija par priekšlikumu Eiropas Parlamenta un Padomes lēmumam par Eiropas Globalizācijas pielāgošanās fonda darbu zaudējušiem darba ņēmējiem izmantošanu saistībā ar Beļģijas iesniegto pieteikumu (EGF/2025/007 BE/Casa)(COM(2026)0003 – C10-0025/2026 – 2026/0038(BUD))"/>
  </w:docVars>
  <w:rsids>
    <w:rsidRoot w:val="002010C7"/>
    <w:rsid w:val="00002272"/>
    <w:rsid w:val="00064002"/>
    <w:rsid w:val="000677B9"/>
    <w:rsid w:val="000831BA"/>
    <w:rsid w:val="000A42CC"/>
    <w:rsid w:val="000E7DD9"/>
    <w:rsid w:val="0010095E"/>
    <w:rsid w:val="0011200D"/>
    <w:rsid w:val="00125B37"/>
    <w:rsid w:val="00187494"/>
    <w:rsid w:val="001F32AE"/>
    <w:rsid w:val="002010C7"/>
    <w:rsid w:val="00214186"/>
    <w:rsid w:val="00265FE6"/>
    <w:rsid w:val="00273F53"/>
    <w:rsid w:val="002767FF"/>
    <w:rsid w:val="002B18FE"/>
    <w:rsid w:val="002B5493"/>
    <w:rsid w:val="002D347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3BEC"/>
    <w:rsid w:val="006F74FA"/>
    <w:rsid w:val="00731ADD"/>
    <w:rsid w:val="00734777"/>
    <w:rsid w:val="00741BDB"/>
    <w:rsid w:val="00747932"/>
    <w:rsid w:val="00751A4A"/>
    <w:rsid w:val="00756632"/>
    <w:rsid w:val="00762C74"/>
    <w:rsid w:val="00786EC0"/>
    <w:rsid w:val="007C2339"/>
    <w:rsid w:val="007D1690"/>
    <w:rsid w:val="007E22AD"/>
    <w:rsid w:val="007F56D0"/>
    <w:rsid w:val="00817416"/>
    <w:rsid w:val="00842779"/>
    <w:rsid w:val="00865F67"/>
    <w:rsid w:val="00881A7B"/>
    <w:rsid w:val="008840E5"/>
    <w:rsid w:val="00887B3E"/>
    <w:rsid w:val="008A5054"/>
    <w:rsid w:val="008C2AC6"/>
    <w:rsid w:val="00930C23"/>
    <w:rsid w:val="0093193B"/>
    <w:rsid w:val="009509D8"/>
    <w:rsid w:val="00950B64"/>
    <w:rsid w:val="00960C5B"/>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2D65"/>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75389A"/>
  <w15:chartTrackingRefBased/>
  <w15:docId w15:val="{B406BCC8-C3A9-4082-A3D6-B067345E5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73F53"/>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273F53"/>
    <w:pPr>
      <w:keepNext/>
      <w:spacing w:after="480"/>
      <w:jc w:val="center"/>
    </w:pPr>
    <w:rPr>
      <w:rFonts w:ascii="Arial" w:hAnsi="Arial" w:cs="Arial"/>
      <w:b/>
    </w:rPr>
  </w:style>
  <w:style w:type="paragraph" w:customStyle="1" w:styleId="NormalBold">
    <w:name w:val="NormalBold"/>
    <w:basedOn w:val="Normal"/>
    <w:rsid w:val="00273F53"/>
    <w:rPr>
      <w:b/>
    </w:rPr>
  </w:style>
  <w:style w:type="paragraph" w:customStyle="1" w:styleId="NormalHanging12a">
    <w:name w:val="NormalHanging12a"/>
    <w:basedOn w:val="Normal"/>
    <w:link w:val="NormalHanging12aChar"/>
    <w:rsid w:val="00273F53"/>
    <w:pPr>
      <w:spacing w:after="240"/>
      <w:ind w:left="567" w:hanging="567"/>
    </w:pPr>
  </w:style>
  <w:style w:type="paragraph" w:styleId="Header">
    <w:name w:val="header"/>
    <w:basedOn w:val="Normal"/>
    <w:link w:val="HeaderChar"/>
    <w:rsid w:val="00273F53"/>
    <w:pPr>
      <w:tabs>
        <w:tab w:val="center" w:pos="4513"/>
        <w:tab w:val="right" w:pos="9026"/>
      </w:tabs>
    </w:pPr>
  </w:style>
  <w:style w:type="character" w:customStyle="1" w:styleId="HeaderChar">
    <w:name w:val="Header Char"/>
    <w:basedOn w:val="DefaultParagraphFont"/>
    <w:link w:val="Header"/>
    <w:rsid w:val="00273F53"/>
    <w:rPr>
      <w:sz w:val="24"/>
      <w:lang w:val="lv-LV"/>
    </w:rPr>
  </w:style>
  <w:style w:type="paragraph" w:customStyle="1" w:styleId="EPFooter">
    <w:name w:val="EPFooter"/>
    <w:basedOn w:val="Normal"/>
    <w:rsid w:val="00273F53"/>
    <w:pPr>
      <w:tabs>
        <w:tab w:val="center" w:pos="4535"/>
        <w:tab w:val="right" w:pos="9071"/>
      </w:tabs>
      <w:spacing w:before="240" w:after="240"/>
    </w:pPr>
    <w:rPr>
      <w:color w:val="010000"/>
      <w:sz w:val="22"/>
    </w:rPr>
  </w:style>
  <w:style w:type="paragraph" w:customStyle="1" w:styleId="EPComma">
    <w:name w:val="EPComma"/>
    <w:basedOn w:val="Normal"/>
    <w:rsid w:val="00273F53"/>
    <w:pPr>
      <w:spacing w:before="480" w:after="240"/>
    </w:pPr>
  </w:style>
  <w:style w:type="character" w:styleId="Hyperlink">
    <w:name w:val="Hyperlink"/>
    <w:basedOn w:val="DefaultParagraphFont"/>
    <w:uiPriority w:val="99"/>
    <w:rsid w:val="00273F53"/>
    <w:rPr>
      <w:color w:val="0563C1" w:themeColor="hyperlink"/>
      <w:u w:val="single"/>
    </w:rPr>
  </w:style>
  <w:style w:type="character" w:customStyle="1" w:styleId="NormalHanging12aChar">
    <w:name w:val="NormalHanging12a Char"/>
    <w:basedOn w:val="DefaultParagraphFont"/>
    <w:link w:val="NormalHanging12a"/>
    <w:locked/>
    <w:rsid w:val="00273F53"/>
    <w:rPr>
      <w:sz w:val="24"/>
      <w:lang w:val="lv-LV"/>
    </w:rPr>
  </w:style>
  <w:style w:type="character" w:customStyle="1" w:styleId="PageHeadingChar">
    <w:name w:val="PageHeading Char"/>
    <w:basedOn w:val="DefaultParagraphFont"/>
    <w:link w:val="PageHeading"/>
    <w:locked/>
    <w:rsid w:val="00273F53"/>
    <w:rPr>
      <w:rFonts w:ascii="Arial" w:hAnsi="Arial" w:cs="Arial"/>
      <w:b/>
      <w:sz w:val="24"/>
      <w:lang w:val="lv-LV"/>
    </w:rPr>
  </w:style>
  <w:style w:type="paragraph" w:customStyle="1" w:styleId="Titreobjet">
    <w:name w:val="Titre objet"/>
    <w:basedOn w:val="Normal"/>
    <w:next w:val="Normal"/>
    <w:rsid w:val="00273F53"/>
    <w:pPr>
      <w:widowControl/>
      <w:spacing w:before="360" w:after="360"/>
      <w:jc w:val="center"/>
    </w:pPr>
    <w:rPr>
      <w:rFonts w:eastAsiaTheme="minorHAnsi"/>
      <w:b/>
      <w:szCs w:val="22"/>
      <w:lang w:eastAsia="en-US"/>
    </w:rPr>
  </w:style>
  <w:style w:type="paragraph" w:customStyle="1" w:styleId="Fait">
    <w:name w:val="Fait à"/>
    <w:basedOn w:val="Normal"/>
    <w:next w:val="Institutionquisigne"/>
    <w:rsid w:val="00273F53"/>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273F53"/>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273F53"/>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273F53"/>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273F53"/>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273F53"/>
    <w:pPr>
      <w:widowControl/>
      <w:tabs>
        <w:tab w:val="left" w:pos="4252"/>
      </w:tabs>
    </w:pPr>
    <w:rPr>
      <w:rFonts w:eastAsiaTheme="minorHAnsi"/>
      <w:i/>
      <w:szCs w:val="22"/>
      <w:lang w:eastAsia="en-US"/>
    </w:rPr>
  </w:style>
  <w:style w:type="paragraph" w:customStyle="1" w:styleId="Titrearticle">
    <w:name w:val="Titre article"/>
    <w:basedOn w:val="Normal"/>
    <w:next w:val="Normal"/>
    <w:rsid w:val="00273F53"/>
    <w:pPr>
      <w:keepNext/>
      <w:widowControl/>
      <w:spacing w:before="360" w:after="120"/>
      <w:jc w:val="center"/>
    </w:pPr>
    <w:rPr>
      <w:rFonts w:eastAsiaTheme="minorHAnsi"/>
      <w:i/>
      <w:szCs w:val="22"/>
      <w:lang w:eastAsia="en-US"/>
    </w:rPr>
  </w:style>
  <w:style w:type="paragraph" w:styleId="Footer">
    <w:name w:val="footer"/>
    <w:basedOn w:val="Normal"/>
    <w:link w:val="FooterChar"/>
    <w:rsid w:val="002D3470"/>
    <w:pPr>
      <w:tabs>
        <w:tab w:val="center" w:pos="4513"/>
        <w:tab w:val="right" w:pos="9026"/>
      </w:tabs>
    </w:pPr>
  </w:style>
  <w:style w:type="character" w:customStyle="1" w:styleId="FooterChar">
    <w:name w:val="Footer Char"/>
    <w:basedOn w:val="DefaultParagraphFont"/>
    <w:link w:val="Footer"/>
    <w:rsid w:val="002D3470"/>
    <w:rPr>
      <w:sz w:val="24"/>
      <w:lang w:val="lv-LV"/>
    </w:rPr>
  </w:style>
  <w:style w:type="paragraph" w:styleId="Revision">
    <w:name w:val="Revision"/>
    <w:hidden/>
    <w:uiPriority w:val="99"/>
    <w:semiHidden/>
    <w:rsid w:val="0011200D"/>
    <w:rPr>
      <w:sz w:val="24"/>
      <w:lang w:val="lv-LV"/>
    </w:rPr>
  </w:style>
  <w:style w:type="character" w:styleId="CommentReference">
    <w:name w:val="annotation reference"/>
    <w:basedOn w:val="DefaultParagraphFont"/>
    <w:rsid w:val="0011200D"/>
    <w:rPr>
      <w:sz w:val="16"/>
      <w:szCs w:val="16"/>
    </w:rPr>
  </w:style>
  <w:style w:type="paragraph" w:styleId="CommentText">
    <w:name w:val="annotation text"/>
    <w:basedOn w:val="Normal"/>
    <w:link w:val="CommentTextChar"/>
    <w:rsid w:val="0011200D"/>
    <w:rPr>
      <w:sz w:val="20"/>
    </w:rPr>
  </w:style>
  <w:style w:type="character" w:customStyle="1" w:styleId="CommentTextChar">
    <w:name w:val="Comment Text Char"/>
    <w:basedOn w:val="DefaultParagraphFont"/>
    <w:link w:val="CommentText"/>
    <w:rsid w:val="0011200D"/>
    <w:rPr>
      <w:lang w:val="lv-LV"/>
    </w:rPr>
  </w:style>
  <w:style w:type="paragraph" w:styleId="CommentSubject">
    <w:name w:val="annotation subject"/>
    <w:basedOn w:val="CommentText"/>
    <w:next w:val="CommentText"/>
    <w:link w:val="CommentSubjectChar"/>
    <w:rsid w:val="0011200D"/>
    <w:rPr>
      <w:b/>
      <w:bCs/>
    </w:rPr>
  </w:style>
  <w:style w:type="character" w:customStyle="1" w:styleId="CommentSubjectChar">
    <w:name w:val="Comment Subject Char"/>
    <w:basedOn w:val="CommentTextChar"/>
    <w:link w:val="CommentSubject"/>
    <w:rsid w:val="0011200D"/>
    <w:rPr>
      <w:b/>
      <w:bCs/>
      <w:lang w:val="lv-LV"/>
    </w:rPr>
  </w:style>
  <w:style w:type="paragraph" w:customStyle="1" w:styleId="Normal24Bold">
    <w:name w:val="Normal24Bold"/>
    <w:basedOn w:val="Normal"/>
    <w:rsid w:val="007F56D0"/>
    <w:pPr>
      <w:spacing w:after="480"/>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1440</Words>
  <Characters>9660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2026-05-20T15:59:00Z</dcterms:created>
  <dcterms:modified xsi:type="dcterms:W3CDTF">2026-05-20T15:59:00Z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P10_TA(2026)0102_</vt:lpwstr>
  </property>
  <property fmtid="{D5CDD505-2E9C-101B-9397-08002B2CF9AE}" pid="4" name="&lt;Type&gt;">
    <vt:lpwstr>RR</vt:lpwstr>
  </property>
</Properties>
</file>