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406F" w14:paraId="3D7EBB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45B5D3" w14:textId="77777777" w:rsidR="00751A4A" w:rsidRPr="00D4406F" w:rsidRDefault="004651FF" w:rsidP="0010095E">
            <w:pPr>
              <w:pStyle w:val="EPName"/>
            </w:pPr>
            <w:r w:rsidRPr="00D4406F">
              <w:t>Parlament Europejski</w:t>
            </w:r>
          </w:p>
          <w:p w14:paraId="375D2E67" w14:textId="77777777" w:rsidR="00751A4A" w:rsidRPr="00D440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406F">
              <w:t>2024</w:t>
            </w:r>
            <w:r w:rsidR="00817416" w:rsidRPr="00D4406F">
              <w:t>-202</w:t>
            </w:r>
            <w:r w:rsidRPr="00D4406F">
              <w:t>9</w:t>
            </w:r>
          </w:p>
        </w:tc>
        <w:tc>
          <w:tcPr>
            <w:tcW w:w="2268" w:type="dxa"/>
            <w:shd w:val="clear" w:color="auto" w:fill="auto"/>
          </w:tcPr>
          <w:p w14:paraId="0CCA0717" w14:textId="77777777" w:rsidR="00751A4A" w:rsidRPr="00D4406F" w:rsidRDefault="00187494" w:rsidP="0010095E">
            <w:pPr>
              <w:pStyle w:val="EPLogo"/>
            </w:pPr>
            <w:r w:rsidRPr="00D4406F">
              <w:rPr>
                <w:noProof/>
                <w:lang w:eastAsia="ja-JP"/>
              </w:rPr>
              <w:drawing>
                <wp:inline distT="0" distB="0" distL="0" distR="0" wp14:anchorId="20639193" wp14:editId="26D486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DC7B55" w14:textId="77777777" w:rsidR="00D058B8" w:rsidRPr="00D4406F" w:rsidRDefault="00D058B8" w:rsidP="004C5D52">
      <w:pPr>
        <w:pStyle w:val="LineTop"/>
      </w:pPr>
    </w:p>
    <w:p w14:paraId="42745022" w14:textId="77777777" w:rsidR="00680577" w:rsidRPr="00D4406F" w:rsidRDefault="004651FF" w:rsidP="00680577">
      <w:pPr>
        <w:pStyle w:val="EPBodyTA1"/>
      </w:pPr>
      <w:r w:rsidRPr="00D4406F">
        <w:t>TEKSTY PRZYJĘTE</w:t>
      </w:r>
    </w:p>
    <w:p w14:paraId="0333038B" w14:textId="77777777" w:rsidR="00D058B8" w:rsidRPr="00D4406F" w:rsidRDefault="00D058B8" w:rsidP="00D058B8">
      <w:pPr>
        <w:pStyle w:val="LineBottom"/>
      </w:pPr>
    </w:p>
    <w:p w14:paraId="571BA125" w14:textId="2FE82F41" w:rsidR="004651FF" w:rsidRPr="00D4406F" w:rsidRDefault="004651FF" w:rsidP="004651FF">
      <w:pPr>
        <w:pStyle w:val="ATHeading1"/>
      </w:pPr>
      <w:bookmarkStart w:id="0" w:name="TANumber"/>
      <w:r w:rsidRPr="00D4406F">
        <w:t>P10_TA(2026)0</w:t>
      </w:r>
      <w:bookmarkEnd w:id="0"/>
      <w:r w:rsidR="00AE7E82">
        <w:t>102</w:t>
      </w:r>
    </w:p>
    <w:p w14:paraId="5A01E461" w14:textId="6606C3A0" w:rsidR="004651FF" w:rsidRPr="00CA5300" w:rsidRDefault="00CA5300" w:rsidP="00CA5300">
      <w:pPr>
        <w:pStyle w:val="ATHeading2"/>
      </w:pPr>
      <w:r w:rsidRPr="00CA5300">
        <w:rPr>
          <w:bCs/>
        </w:rPr>
        <w:t>Uruchomienie Europejskiego Funduszu Dostosowania do Globalizacji dla Zwalnianych</w:t>
      </w:r>
      <w:r>
        <w:rPr>
          <w:bCs/>
        </w:rPr>
        <w:t xml:space="preserve"> </w:t>
      </w:r>
      <w:r w:rsidRPr="00CA5300">
        <w:rPr>
          <w:bCs/>
        </w:rPr>
        <w:t>Pracowników: wniosek EGF/2025/007 BE/</w:t>
      </w:r>
      <w:proofErr w:type="spellStart"/>
      <w:r w:rsidRPr="00CA5300">
        <w:rPr>
          <w:bCs/>
        </w:rPr>
        <w:t>Casa</w:t>
      </w:r>
      <w:proofErr w:type="spellEnd"/>
      <w:r w:rsidRPr="00CA5300">
        <w:rPr>
          <w:bCs/>
        </w:rPr>
        <w:t xml:space="preserve"> – Belgia</w:t>
      </w:r>
    </w:p>
    <w:p w14:paraId="15A34936" w14:textId="77777777" w:rsidR="004651FF" w:rsidRPr="00D4406F" w:rsidRDefault="004651FF" w:rsidP="004651FF">
      <w:pPr>
        <w:rPr>
          <w:i/>
          <w:vanish/>
        </w:rPr>
      </w:pPr>
      <w:r w:rsidRPr="00D4406F">
        <w:rPr>
          <w:i/>
        </w:rPr>
        <w:fldChar w:fldCharType="begin"/>
      </w:r>
      <w:r w:rsidRPr="00D4406F">
        <w:rPr>
          <w:i/>
        </w:rPr>
        <w:instrText xml:space="preserve"> TC"(</w:instrText>
      </w:r>
      <w:bookmarkStart w:id="1" w:name="DocNumber"/>
      <w:r w:rsidRPr="00D4406F">
        <w:rPr>
          <w:i/>
        </w:rPr>
        <w:instrText>A10-0061/2026</w:instrText>
      </w:r>
      <w:bookmarkEnd w:id="1"/>
      <w:r w:rsidRPr="00D4406F">
        <w:rPr>
          <w:i/>
        </w:rPr>
        <w:instrText xml:space="preserve"> - Sprawozdawca: </w:instrText>
      </w:r>
      <w:proofErr w:type="spellStart"/>
      <w:r w:rsidRPr="00D4406F">
        <w:rPr>
          <w:i/>
        </w:rPr>
        <w:instrText>Hélder</w:instrText>
      </w:r>
      <w:proofErr w:type="spellEnd"/>
      <w:r w:rsidRPr="00D4406F">
        <w:rPr>
          <w:i/>
        </w:rPr>
        <w:instrText xml:space="preserve"> </w:instrText>
      </w:r>
      <w:proofErr w:type="spellStart"/>
      <w:r w:rsidRPr="00D4406F">
        <w:rPr>
          <w:i/>
        </w:rPr>
        <w:instrText>Sousa</w:instrText>
      </w:r>
      <w:proofErr w:type="spellEnd"/>
      <w:r w:rsidRPr="00D4406F">
        <w:rPr>
          <w:i/>
        </w:rPr>
        <w:instrText xml:space="preserve"> Silva)"\l3 \n&gt; \* MERGEFORMAT </w:instrText>
      </w:r>
      <w:r w:rsidRPr="00D4406F">
        <w:rPr>
          <w:i/>
        </w:rPr>
        <w:fldChar w:fldCharType="end"/>
      </w:r>
    </w:p>
    <w:p w14:paraId="343C6CA4" w14:textId="77777777" w:rsidR="004651FF" w:rsidRPr="00D4406F" w:rsidRDefault="004651FF" w:rsidP="004651FF">
      <w:pPr>
        <w:rPr>
          <w:vanish/>
        </w:rPr>
      </w:pPr>
      <w:bookmarkStart w:id="2" w:name="Commission"/>
      <w:r w:rsidRPr="00D4406F">
        <w:rPr>
          <w:vanish/>
        </w:rPr>
        <w:t>Komisja Budżetowa</w:t>
      </w:r>
      <w:bookmarkEnd w:id="2"/>
    </w:p>
    <w:p w14:paraId="0D20A91F" w14:textId="77777777" w:rsidR="004651FF" w:rsidRPr="00D4406F" w:rsidRDefault="004651FF" w:rsidP="004651FF">
      <w:pPr>
        <w:rPr>
          <w:vanish/>
        </w:rPr>
      </w:pPr>
      <w:bookmarkStart w:id="3" w:name="PE"/>
      <w:r w:rsidRPr="00D4406F">
        <w:rPr>
          <w:vanish/>
        </w:rPr>
        <w:t>PE784.477</w:t>
      </w:r>
      <w:bookmarkEnd w:id="3"/>
    </w:p>
    <w:p w14:paraId="3904C010" w14:textId="022BCBE3" w:rsidR="004651FF" w:rsidRPr="00D4406F" w:rsidRDefault="004651FF" w:rsidP="004651FF">
      <w:pPr>
        <w:pStyle w:val="ATHeading3"/>
      </w:pPr>
      <w:bookmarkStart w:id="4" w:name="Sujet"/>
      <w:r w:rsidRPr="00D4406F">
        <w:t xml:space="preserve">Rezolucja Parlamentu Europejskiego z dnia </w:t>
      </w:r>
      <w:r w:rsidR="00CA5300">
        <w:t>26 marca</w:t>
      </w:r>
      <w:r w:rsidRPr="00D4406F">
        <w:t xml:space="preserve"> 2026 r. w sprawie wniosku dotyczącego decyzji Parlamentu Europejskiego i Rady w sprawie uruchomienia Europejskiego Funduszu Dostosowania do Globalizacji dla Zwalnianych Pracowników w następstwie wniosku złożonego przez Belgię – EGF/2025/007 BE/</w:t>
      </w:r>
      <w:proofErr w:type="spellStart"/>
      <w:r w:rsidRPr="00D4406F">
        <w:t>Casa</w:t>
      </w:r>
      <w:bookmarkEnd w:id="4"/>
      <w:proofErr w:type="spellEnd"/>
      <w:r w:rsidRPr="00D4406F">
        <w:t xml:space="preserve"> </w:t>
      </w:r>
      <w:bookmarkStart w:id="5" w:name="References"/>
      <w:r w:rsidRPr="00D4406F">
        <w:t>(COM(2026)0003 – C10-0025/2026 – 2026/0038(BUD))</w:t>
      </w:r>
      <w:bookmarkEnd w:id="5"/>
    </w:p>
    <w:p w14:paraId="0DAB6FA5" w14:textId="77777777" w:rsidR="003C0F55" w:rsidRPr="00D4406F" w:rsidRDefault="003C0F55" w:rsidP="003C0F55">
      <w:pPr>
        <w:pStyle w:val="EPComma"/>
        <w:rPr>
          <w:noProof/>
        </w:rPr>
      </w:pPr>
      <w:r w:rsidRPr="00D4406F">
        <w:rPr>
          <w:i/>
        </w:rPr>
        <w:t>Parlament Europejski</w:t>
      </w:r>
      <w:r w:rsidRPr="00D4406F">
        <w:t>,</w:t>
      </w:r>
    </w:p>
    <w:p w14:paraId="04E6C6A4" w14:textId="77777777" w:rsidR="003C0F55" w:rsidRPr="00D4406F" w:rsidRDefault="003C0F55" w:rsidP="003C0F55">
      <w:pPr>
        <w:pStyle w:val="NormalHanging12a"/>
        <w:rPr>
          <w:noProof/>
        </w:rPr>
      </w:pPr>
      <w:r w:rsidRPr="00D4406F">
        <w:t>–</w:t>
      </w:r>
      <w:r w:rsidRPr="00D4406F">
        <w:tab/>
        <w:t>uwzględniając wniosek Komisji przedłożony Parlamentowi Europejskiemu i Radzie (COM(2026)0003 – C10-0025/2026),</w:t>
      </w:r>
    </w:p>
    <w:p w14:paraId="245F2FD0" w14:textId="77777777" w:rsidR="003C0F55" w:rsidRPr="00D4406F" w:rsidRDefault="003C0F55" w:rsidP="003C0F55">
      <w:pPr>
        <w:pStyle w:val="NormalHanging12a"/>
      </w:pPr>
      <w:r w:rsidRPr="00D4406F">
        <w:t>–</w:t>
      </w:r>
      <w:r w:rsidRPr="00D4406F">
        <w:tab/>
        <w:t>uwzględniając rozporządzenie Parlamentu Europejskiego i Rady (UE) 2021/691 z dnia 28 kwietnia 2021 r. w sprawie Europejskiego Funduszu Dostosowania do Globalizacji dla Zwalnianych Pracowników (EFG) oraz uchylenia rozporządzenia (UE) nr 1309/2013</w:t>
      </w:r>
      <w:r w:rsidRPr="00D4406F">
        <w:rPr>
          <w:vertAlign w:val="superscript"/>
        </w:rPr>
        <w:footnoteReference w:id="1"/>
      </w:r>
      <w:r w:rsidRPr="00D4406F">
        <w:t xml:space="preserve"> („rozporządzenie w sprawie EFG”), </w:t>
      </w:r>
    </w:p>
    <w:p w14:paraId="72B9F4CF" w14:textId="77777777" w:rsidR="003C0F55" w:rsidRPr="00D4406F" w:rsidRDefault="003C0F55" w:rsidP="003C0F55">
      <w:pPr>
        <w:pStyle w:val="NormalHanging12a"/>
        <w:rPr>
          <w:noProof/>
        </w:rPr>
      </w:pPr>
      <w:r w:rsidRPr="00D4406F">
        <w:t>–</w:t>
      </w:r>
      <w:r w:rsidRPr="00D4406F">
        <w:tab/>
        <w:t xml:space="preserve">uwzględniając rozporządzenie Rady (UE, </w:t>
      </w:r>
      <w:proofErr w:type="spellStart"/>
      <w:r w:rsidRPr="00D4406F">
        <w:t>Euratom</w:t>
      </w:r>
      <w:proofErr w:type="spellEnd"/>
      <w:r w:rsidRPr="00D4406F">
        <w:t>) 2020/2093 z dnia 17 grudnia 2020 r. określające wieloletnie ramy finansowe na lata 2021−2027 („rozporządzenie w sprawie WRF”)</w:t>
      </w:r>
      <w:r w:rsidRPr="00D4406F">
        <w:rPr>
          <w:noProof/>
          <w:vertAlign w:val="superscript"/>
        </w:rPr>
        <w:footnoteReference w:id="2"/>
      </w:r>
      <w:r w:rsidRPr="00D4406F">
        <w:t xml:space="preserve">, zmienione rozporządzeniem (UE, </w:t>
      </w:r>
      <w:proofErr w:type="spellStart"/>
      <w:r w:rsidRPr="00D4406F">
        <w:t>Euratom</w:t>
      </w:r>
      <w:proofErr w:type="spellEnd"/>
      <w:r w:rsidRPr="00D4406F">
        <w:t>) 2024/765</w:t>
      </w:r>
      <w:r w:rsidRPr="00D4406F">
        <w:rPr>
          <w:noProof/>
          <w:vertAlign w:val="superscript"/>
        </w:rPr>
        <w:footnoteReference w:id="3"/>
      </w:r>
      <w:r w:rsidRPr="00D4406F">
        <w:t xml:space="preserve">, w szczególności jego art. 8, </w:t>
      </w:r>
    </w:p>
    <w:p w14:paraId="62F19685" w14:textId="77777777" w:rsidR="003C0F55" w:rsidRPr="00D4406F" w:rsidRDefault="003C0F55" w:rsidP="003C0F55">
      <w:pPr>
        <w:pStyle w:val="NormalHanging12a"/>
        <w:rPr>
          <w:noProof/>
        </w:rPr>
      </w:pPr>
      <w:r w:rsidRPr="00D4406F">
        <w:t>–</w:t>
      </w:r>
      <w:r w:rsidRPr="00D4406F">
        <w:tab/>
        <w:t xml:space="preserve">uwzględniając Porozumienie międzyinstytucjonalne z dnia 16 grudnia 2020 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D4406F">
        <w:lastRenderedPageBreak/>
        <w:t>wprowadzania nowych zasobów własnych</w:t>
      </w:r>
      <w:r w:rsidRPr="00D4406F">
        <w:rPr>
          <w:rStyle w:val="FootnoteReference"/>
          <w:noProof/>
        </w:rPr>
        <w:footnoteReference w:id="4"/>
      </w:r>
      <w:r w:rsidRPr="00D4406F">
        <w:t>, w szczególności jego pkt 9,</w:t>
      </w:r>
    </w:p>
    <w:p w14:paraId="692846C1" w14:textId="77777777" w:rsidR="003C0F55" w:rsidRPr="00D4406F" w:rsidRDefault="003C0F55" w:rsidP="003C0F55">
      <w:pPr>
        <w:pStyle w:val="NormalHanging12a"/>
      </w:pPr>
      <w:r w:rsidRPr="00D4406F">
        <w:t>–</w:t>
      </w:r>
      <w:r w:rsidRPr="00D4406F">
        <w:tab/>
        <w:t>uwzględniając Europejski filar praw socjalnych,</w:t>
      </w:r>
    </w:p>
    <w:p w14:paraId="492F3D2B" w14:textId="77777777" w:rsidR="003C0F55" w:rsidRPr="00D4406F" w:rsidRDefault="003C0F55" w:rsidP="003C0F55">
      <w:pPr>
        <w:pStyle w:val="NormalHanging12a"/>
      </w:pPr>
      <w:r w:rsidRPr="00D4406F">
        <w:t>–</w:t>
      </w:r>
      <w:r w:rsidRPr="00D4406F">
        <w:tab/>
        <w:t>uwzględniając pismo przesłane przez Komisję Zatrudnienia i Spraw Socjalnych,</w:t>
      </w:r>
    </w:p>
    <w:p w14:paraId="344A7968" w14:textId="77777777" w:rsidR="003C0F55" w:rsidRPr="00D4406F" w:rsidRDefault="003C0F55" w:rsidP="003C0F55">
      <w:pPr>
        <w:pStyle w:val="NormalHanging12a"/>
      </w:pPr>
      <w:r w:rsidRPr="00D4406F">
        <w:t>–</w:t>
      </w:r>
      <w:r w:rsidRPr="00D4406F">
        <w:tab/>
        <w:t>uwzględniając sprawozdanie Komisji Budżetowej (A10-0061/2026),</w:t>
      </w:r>
    </w:p>
    <w:p w14:paraId="28205C01" w14:textId="77777777" w:rsidR="003C0F55" w:rsidRPr="00D4406F" w:rsidRDefault="003C0F55" w:rsidP="003C0F55">
      <w:pPr>
        <w:pStyle w:val="NormalHanging12a"/>
        <w:rPr>
          <w:noProof/>
        </w:rPr>
      </w:pPr>
      <w:r w:rsidRPr="00D4406F">
        <w:t>A.</w:t>
      </w:r>
      <w:r w:rsidRPr="00D4406F">
        <w:tab/>
        <w:t>mając na uwadze, że Unia opracowała instrumenty ustawodawcze i budżetowe, za pomocą których udziela dodatkowego wsparcia pracownikom dotkniętym skutkami istotnych działań restrukturyzacyjnych i zmian w strukturze światowego handlu oraz ułatwia im powrót na rynek pracy; mając na uwadze, że pomoc ta ma formę wsparcia finansowego dla pracowników;</w:t>
      </w:r>
    </w:p>
    <w:p w14:paraId="7C76684D" w14:textId="77777777" w:rsidR="003C0F55" w:rsidRPr="00D4406F" w:rsidRDefault="003C0F55" w:rsidP="003C0F55">
      <w:pPr>
        <w:pStyle w:val="NormalHanging12a"/>
      </w:pPr>
      <w:r w:rsidRPr="00D4406F">
        <w:t>B.</w:t>
      </w:r>
      <w:r w:rsidRPr="00D4406F">
        <w:tab/>
        <w:t>mając na uwadze, że Belgia złożyła wniosek EGF/2025/007 BE/</w:t>
      </w:r>
      <w:proofErr w:type="spellStart"/>
      <w:r w:rsidRPr="00D4406F">
        <w:t>Casa</w:t>
      </w:r>
      <w:proofErr w:type="spellEnd"/>
      <w:r w:rsidRPr="00D4406F">
        <w:t xml:space="preserve"> o wkład finansowy z EFG w związku z 416 zwolnieniami</w:t>
      </w:r>
      <w:r w:rsidRPr="00D4406F">
        <w:rPr>
          <w:vertAlign w:val="superscript"/>
        </w:rPr>
        <w:footnoteReference w:id="5"/>
      </w:r>
      <w:r w:rsidRPr="00D4406F">
        <w:t xml:space="preserve"> w </w:t>
      </w:r>
      <w:proofErr w:type="spellStart"/>
      <w:r w:rsidRPr="00D4406F">
        <w:t>Casa</w:t>
      </w:r>
      <w:proofErr w:type="spellEnd"/>
      <w:r w:rsidRPr="00D4406F">
        <w:t xml:space="preserve"> International NV (</w:t>
      </w:r>
      <w:proofErr w:type="spellStart"/>
      <w:r w:rsidRPr="00D4406F">
        <w:t>Casa</w:t>
      </w:r>
      <w:proofErr w:type="spellEnd"/>
      <w:r w:rsidRPr="00D4406F">
        <w:t xml:space="preserve">) w Belgii, w sektorach gospodarki zaklasyfikowanych do następujących działów NACE </w:t>
      </w:r>
      <w:proofErr w:type="spellStart"/>
      <w:r w:rsidRPr="00D4406F">
        <w:t>Rev</w:t>
      </w:r>
      <w:proofErr w:type="spellEnd"/>
      <w:r w:rsidRPr="00D4406F">
        <w:t xml:space="preserve">. 2 – 47 (Handel detaliczny, z wyłączeniem handlu pojazdami samochodowymi i motocyklami) oraz 52 (Magazynowanie i działalność usługowa wspomagająca transport); doszło do nich w prowincji Antwerpia (BE21) we Flandrii w okresie odniesienia od 6 marca 2025 r. do 6 lipca 2025 r.; </w:t>
      </w:r>
    </w:p>
    <w:p w14:paraId="658C5F49" w14:textId="77777777" w:rsidR="003C0F55" w:rsidRPr="00D4406F" w:rsidRDefault="003C0F55" w:rsidP="003C0F55">
      <w:pPr>
        <w:pStyle w:val="NormalHanging12a"/>
      </w:pPr>
      <w:r w:rsidRPr="00D4406F">
        <w:t>C.</w:t>
      </w:r>
      <w:r w:rsidRPr="00D4406F">
        <w:tab/>
        <w:t xml:space="preserve">mając na uwadze, że wniosek opiera się na kryteriach interwencji określonych w art. 4 ust. 2 lit. a) rozporządzenia w sprawie EFG; mając na uwadze, że 257 zwolnień dotyczy spółki </w:t>
      </w:r>
      <w:proofErr w:type="spellStart"/>
      <w:r w:rsidRPr="00D4406F">
        <w:t>Casa</w:t>
      </w:r>
      <w:proofErr w:type="spellEnd"/>
      <w:r w:rsidRPr="00D4406F">
        <w:t xml:space="preserve"> International NV (handel detaliczny) posiadającej 65 punktów sprzedaży detalicznej w całej Belgii, a 159 zwolnień dotyczy spółki </w:t>
      </w:r>
      <w:proofErr w:type="spellStart"/>
      <w:r w:rsidRPr="00D4406F">
        <w:t>Casa</w:t>
      </w:r>
      <w:proofErr w:type="spellEnd"/>
      <w:r w:rsidRPr="00D4406F">
        <w:t xml:space="preserve"> Logistics NV (magazynowanie), odpowiedzialnej za magazynowanie i dystrybucję na potrzeby tych punktów sprzedaży; </w:t>
      </w:r>
    </w:p>
    <w:p w14:paraId="55306389" w14:textId="77777777" w:rsidR="003C0F55" w:rsidRPr="00D4406F" w:rsidRDefault="003C0F55" w:rsidP="003C0F55">
      <w:pPr>
        <w:pStyle w:val="NormalHanging12a"/>
        <w:rPr>
          <w:noProof/>
        </w:rPr>
      </w:pPr>
      <w:r w:rsidRPr="00D4406F">
        <w:t>D.</w:t>
      </w:r>
      <w:r w:rsidRPr="00D4406F">
        <w:tab/>
        <w:t xml:space="preserve">mając na uwadze, że 6 marca 2025 r. przedsiębiorstwo </w:t>
      </w:r>
      <w:proofErr w:type="spellStart"/>
      <w:r w:rsidRPr="00D4406F">
        <w:t>Casa</w:t>
      </w:r>
      <w:proofErr w:type="spellEnd"/>
      <w:r w:rsidRPr="00D4406F">
        <w:t xml:space="preserve"> ogłosiło upadłość; mając na uwadze, że w Belgii od 2022 r. obserwuje się wzrost liczby upadłości przedsiębiorstw, zwłaszcza w sektorze handlu detalicznego, który przechodzi głęboką transformację strukturalną spowodowaną rozwojem handlu elektronicznego i zmieniającymi się nawykami konsumentów; mając na uwadze, że kobiety stanowią 67,5 % siły roboczej, której dotyczy ta sprawa; podkreśla w związku z tym, że środki wsparcia w ramach EFG powinny uwzględniać szczególne potrzeby tych kobiet i bariery, na jakie natrafiają one w powrocie na rynek pracy;</w:t>
      </w:r>
    </w:p>
    <w:p w14:paraId="3C676DD0" w14:textId="77777777" w:rsidR="003C0F55" w:rsidRPr="00D4406F" w:rsidRDefault="003C0F55" w:rsidP="003C0F55">
      <w:pPr>
        <w:pStyle w:val="NormalHanging12a"/>
      </w:pPr>
      <w:r w:rsidRPr="00D4406F">
        <w:t>E.</w:t>
      </w:r>
      <w:r w:rsidRPr="00D4406F">
        <w:tab/>
        <w:t>mając na uwadze, że flamandzkie publiczne służby zatrudnienia (VDAB) zapewniają krajowe prefinansowanie i współfinansowanie środków;</w:t>
      </w:r>
    </w:p>
    <w:p w14:paraId="66ECA5BE" w14:textId="77777777" w:rsidR="003C0F55" w:rsidRPr="00D4406F" w:rsidRDefault="003C0F55" w:rsidP="003C0F55">
      <w:pPr>
        <w:pStyle w:val="NormalHanging12a"/>
      </w:pPr>
      <w:r w:rsidRPr="00D4406F">
        <w:t>F.</w:t>
      </w:r>
      <w:r w:rsidRPr="00D4406F">
        <w:tab/>
        <w:t>mając na uwadze, że odnośne przedsiębiorstwa spełniły wymogi przepisów unijnych i krajowych dotyczących zwolnień grupowych;</w:t>
      </w:r>
    </w:p>
    <w:p w14:paraId="1F9F5A6B" w14:textId="77777777" w:rsidR="003C0F55" w:rsidRPr="00D4406F" w:rsidRDefault="003C0F55" w:rsidP="003C0F55">
      <w:pPr>
        <w:pStyle w:val="NormalHanging12a"/>
      </w:pPr>
      <w:r w:rsidRPr="00D4406F">
        <w:t>G.</w:t>
      </w:r>
      <w:r w:rsidRPr="00D4406F">
        <w:tab/>
        <w:t xml:space="preserve">mając na uwadze, że wkłady finansowe z EFG powinny być ukierunkowane przede wszystkim na środki aktywnej polityki rynku pracy i zindywidualizowane usługi mające na celu szybką reintegrację beneficjentów na rynku pracy, jednocześnie oferując szkolenia rozwijające umiejętności, które ułatwią beneficjentom wejście na rynek </w:t>
      </w:r>
      <w:r w:rsidRPr="00D4406F">
        <w:lastRenderedPageBreak/>
        <w:t>pracy;</w:t>
      </w:r>
    </w:p>
    <w:p w14:paraId="3F5C8008" w14:textId="77777777" w:rsidR="003C0F55" w:rsidRPr="00D4406F" w:rsidRDefault="003C0F55" w:rsidP="003C0F55">
      <w:pPr>
        <w:pStyle w:val="NormalHanging12a"/>
      </w:pPr>
      <w:r w:rsidRPr="00D4406F">
        <w:t>H.</w:t>
      </w:r>
      <w:r w:rsidRPr="00D4406F">
        <w:tab/>
        <w:t>mając na uwadze, że wkłady finansowe z EFG nie mogą przekroczyć maksymalnej rocznej kwoty 30 mln EUR (w cenach z 2018 r.)</w:t>
      </w:r>
      <w:r w:rsidRPr="00D4406F">
        <w:rPr>
          <w:rStyle w:val="FootnoteReference"/>
        </w:rPr>
        <w:footnoteReference w:id="6"/>
      </w:r>
      <w:r w:rsidRPr="00D4406F">
        <w:t xml:space="preserve">; </w:t>
      </w:r>
    </w:p>
    <w:p w14:paraId="5AA87F7B" w14:textId="77777777" w:rsidR="003C0F55" w:rsidRPr="00D4406F" w:rsidRDefault="003C0F55" w:rsidP="003C0F55">
      <w:pPr>
        <w:pStyle w:val="NormalHanging12a"/>
      </w:pPr>
      <w:r w:rsidRPr="00D4406F">
        <w:t>1.</w:t>
      </w:r>
      <w:r w:rsidRPr="00D4406F">
        <w:tab/>
        <w:t>zgadza się z Komisją, że spełniono warunki wymienione w rozporządzeniu w sprawie EFG, a w szczególności w jego art. 4 ust. 2 lit. a), i że Belgia ma prawo do wkładu finansowego w wysokości 1 916 733 EUR na mocy tego rozporządzenia, co stanowi 85 % łącznych kosztów wynoszących 2 254 980 EUR (wliczając wydatki na zindywidualizowane usługi w wysokości 2 168 980 EUR oraz wydatki na działania przygotowawcze, zarządzanie, informacje, reklamy, kontrolę i sprawozdawczość w wysokości 86 000 EUR);</w:t>
      </w:r>
    </w:p>
    <w:p w14:paraId="0D2F83F4" w14:textId="77777777" w:rsidR="003C0F55" w:rsidRPr="00D4406F" w:rsidRDefault="003C0F55" w:rsidP="003C0F55">
      <w:pPr>
        <w:pStyle w:val="NormalHanging12a"/>
      </w:pPr>
      <w:r w:rsidRPr="00D4406F">
        <w:t>2.</w:t>
      </w:r>
      <w:r w:rsidRPr="00D4406F">
        <w:tab/>
        <w:t>zauważa, że władze belgijskie złożyły wniosek 23 września 2025 r. oraz że po przekazaniu przez Belgię dodatkowych informacji Komisja zakończyła ocenę wniosku 6 lutego 2026 r. i przekazała ją Parlamentowi 11 lutego 2026 r.; podkreśla, jak ważne jest skrócenie czasu między złożeniem wniosku o pomoc z EFG a decyzją w sprawie finansowania, przy jednoczesnym pełnym zabezpieczeniu praw Parlamentu Europejskiego jako jednego z organów władzy budżetowej;</w:t>
      </w:r>
    </w:p>
    <w:p w14:paraId="72E5DB30" w14:textId="77777777" w:rsidR="003C0F55" w:rsidRPr="00D4406F" w:rsidRDefault="003C0F55" w:rsidP="003C0F55">
      <w:pPr>
        <w:pStyle w:val="NormalHanging12a"/>
      </w:pPr>
      <w:r w:rsidRPr="00D4406F">
        <w:t>3.</w:t>
      </w:r>
      <w:r w:rsidRPr="00D4406F">
        <w:tab/>
        <w:t xml:space="preserve">zauważa, że wniosek dotyczy pracowników, którzy zaprzestali działalności w dwóch spółkach konsorcjum </w:t>
      </w:r>
      <w:proofErr w:type="spellStart"/>
      <w:r w:rsidRPr="00D4406F">
        <w:t>Casa</w:t>
      </w:r>
      <w:proofErr w:type="spellEnd"/>
      <w:r w:rsidRPr="00D4406F">
        <w:t>, oraz że wszyscy oni będą beneficjentami pomocy;</w:t>
      </w:r>
    </w:p>
    <w:p w14:paraId="7716BF70" w14:textId="77777777" w:rsidR="003C0F55" w:rsidRPr="00D4406F" w:rsidRDefault="003C0F55" w:rsidP="003C0F55">
      <w:pPr>
        <w:pStyle w:val="NormalHanging12a"/>
      </w:pPr>
      <w:r w:rsidRPr="00D4406F">
        <w:t>4.</w:t>
      </w:r>
      <w:r w:rsidRPr="00D4406F">
        <w:tab/>
        <w:t xml:space="preserve">zauważa, że konsorcjum </w:t>
      </w:r>
      <w:proofErr w:type="spellStart"/>
      <w:r w:rsidRPr="00D4406F">
        <w:t>Casa</w:t>
      </w:r>
      <w:proofErr w:type="spellEnd"/>
      <w:r w:rsidRPr="00D4406F">
        <w:t xml:space="preserve"> przez kilka lat przed ogłoszeniem upadłości doświadczało trudności finansowych wynikających z rosnącej roli handlu elektronicznego, zwiększonej konkurencji międzynarodowej i nieuczciwych warunków konkurencji, co ostatecznie doprowadziło do poważnych niedoborów płynności i uniemożliwiło znalezienie potencjalnych nabywców konsorcjum; podkreśla, że należy zwiększyć zdolności kierownictwa przedsiębiorstwa do zapobiegania zwolnieniom przez dostosowanie się do obecnego kontekstu geopolitycznego, a także do proaktywnego radzenia sobie z szeroko zakrojonymi działaniami restrukturyzacyjnymi;</w:t>
      </w:r>
    </w:p>
    <w:p w14:paraId="3EBB2765" w14:textId="77777777" w:rsidR="003C0F55" w:rsidRPr="00D4406F" w:rsidRDefault="003C0F55" w:rsidP="003C0F55">
      <w:pPr>
        <w:pStyle w:val="NormalHanging12a"/>
        <w:rPr>
          <w:noProof/>
        </w:rPr>
      </w:pPr>
      <w:r w:rsidRPr="00D4406F">
        <w:t>5.</w:t>
      </w:r>
      <w:r w:rsidRPr="00D4406F">
        <w:tab/>
        <w:t>zauważa, że podczas gdy zwolnieni sprzedawcy mają duże szanse na zatrudnienie, pracownicy magazynów mają większe trudności ze znalezieniem nowej pracy i wymagają dodatkowego wsparcia obejmującego podnoszenie kwalifikacji, przekwalifikowanie, relokację lub przeniesienie; wzywa władze belgijskie do zapewnienia dostosowanego do potrzeb wsparcia, aby pracownicy mogli przezwyciężyć swoje ograniczenia i znaleźć nową pracę odpowiadającą potrzebom rynku; podkreśla, że reintegracja zwolnionych pracowników ma kluczowe znaczenie dla gotowej na przyszłe wyzwania gospodarki europejskiej o silnej bazie przemysłowej;</w:t>
      </w:r>
    </w:p>
    <w:p w14:paraId="2CE32356" w14:textId="77777777" w:rsidR="003C0F55" w:rsidRPr="00D4406F" w:rsidRDefault="003C0F55" w:rsidP="003C0F55">
      <w:pPr>
        <w:pStyle w:val="NormalHanging12a"/>
      </w:pPr>
      <w:r w:rsidRPr="00D4406F">
        <w:t>6.</w:t>
      </w:r>
      <w:r w:rsidRPr="00D4406F">
        <w:tab/>
        <w:t xml:space="preserve">ubolewa nad tym, że wzrost liczby upadłości w ciągu ostatnich dwóch lat miał negatywny wpływ na stopę bezrobocia w niektórych regionach Belgii, zwłaszcza w Brukseli i </w:t>
      </w:r>
      <w:proofErr w:type="spellStart"/>
      <w:r w:rsidRPr="00D4406F">
        <w:t>Olen</w:t>
      </w:r>
      <w:proofErr w:type="spellEnd"/>
      <w:r w:rsidRPr="00D4406F">
        <w:t xml:space="preserve"> (prowincja Antwerpia); zauważa, że w ciągu 18 miesięcy w Belgii z powodu upadłości zlikwidowano około 45 000 miejsc pracy, głównie we Flandrii; podkreśla, że we Flandrii ryzyko bezrobocia jest ponad dwukrotnie wyższe w przypadku osób o niskim poziomie wykształcenia; podkreśla, jak ważne jest środowisko przyjazne dla biznesu, które umożliwia przedsiębiorstwom utrzymanie konkurencyjności, tworzy miejsca pracy i przyczynia się do zrównoważonego wzrostu </w:t>
      </w:r>
      <w:r w:rsidRPr="00D4406F">
        <w:lastRenderedPageBreak/>
        <w:t>gospodarczego;</w:t>
      </w:r>
    </w:p>
    <w:p w14:paraId="20CF6553" w14:textId="77777777" w:rsidR="003C0F55" w:rsidRPr="00D4406F" w:rsidRDefault="003C0F55" w:rsidP="003C0F55">
      <w:pPr>
        <w:pStyle w:val="NormalHanging12a"/>
      </w:pPr>
      <w:r w:rsidRPr="00D4406F">
        <w:t>7.</w:t>
      </w:r>
      <w:r w:rsidRPr="00D4406F">
        <w:tab/>
        <w:t xml:space="preserve">przypomina, że w porozumieniu z ekspertami i partnerami społecznymi na rzecz pracowników mają być świadczone zindywidualizowane usługi obejmujące następujące środki: sesje informacyjne obejmujące wskazówki dotyczące reintegracji zawodowej; usługi w zakresie zwolnień monitorowanych, aby pomóc pracownikom w poszukiwaniu pracy; aktywna mediacja skupiająca się na profilu każdej osoby poszukującej pracy; zindywidualizowane programy rozwoju umiejętności, w tym umiejętności informatycznych; szkolenia i przekwalifikowanie; indywidualne szkolenie w miejscu pracy; uczestnictwo w targach pracy; podkreśla, że trzeba wspierać wysokiej jakości, przyszłościowe miejsca pracy, które wzmacniają konkurencyjność i wspierają transformację cyfrową, a jednocześnie dopilnować, by EFG był właściwie wdrażany i przyczyniał się do długoterminowej odporności gospodarczej i społecznej Unii; podkreśla, że partnerzy społeczni powinni być zaangażowani w cały proces wdrażania środków EFG, w tym na etapie monitorowania, aby zagwarantować jakość i adekwatność wsparcia oferowanego beneficjentom; </w:t>
      </w:r>
    </w:p>
    <w:p w14:paraId="4F6ED4C7" w14:textId="77777777" w:rsidR="003C0F55" w:rsidRPr="00D4406F" w:rsidRDefault="003C0F55" w:rsidP="003C0F55">
      <w:pPr>
        <w:pStyle w:val="NormalHanging12a"/>
      </w:pPr>
      <w:r w:rsidRPr="00D4406F">
        <w:t>8.</w:t>
      </w:r>
      <w:r w:rsidRPr="00D4406F">
        <w:tab/>
        <w:t>przypomina, że EFG jest instrumentem solidarności i sprawiedliwej transformacji i chociaż zapewnia wsparcie w przypadku utraty miejsc pracy, nie może zastąpić proaktywnej polityki przemysłowej; uważa, że uruchomienie EFG musi być częścią szerszej reakcji politycznej na wszystkich szczeblach politycznych, aby zapewnić zwolnionym pracownikom odpowiednie możliwości zatrudnienia zgodne z ich kwalifikacjami i umiejętnościami; podkreśla, że Unia musi koncentrować się przede wszystkim na zapobieganiu takim zamknięciom zakładów, tworząc warunki dla utrzymania konkurencyjności produkcji przemysłowej oraz inwestując w rozwój umiejętności zarówno wysoko wykwalifikowanych pracowników, jak i pracowników przemysłowych; podkreśla potrzebę zapewnienia specjalnego wsparcia dostosowanego do profilu pracowników o niskim poziomie wykształcenia, przy jednoczesnym podjęciu działań mających na celu zmniejszenie liczby przypadków upadłości i rozwiązanie problemu dysproporcji społecznych prowadzących do wykluczenia siły roboczej;</w:t>
      </w:r>
    </w:p>
    <w:p w14:paraId="69E5B5E6" w14:textId="77777777" w:rsidR="003C0F55" w:rsidRPr="00D4406F" w:rsidRDefault="003C0F55" w:rsidP="003C0F55">
      <w:pPr>
        <w:pStyle w:val="NormalHanging12a"/>
        <w:rPr>
          <w:bCs/>
          <w:iCs/>
        </w:rPr>
      </w:pPr>
      <w:r w:rsidRPr="00D4406F">
        <w:t>9.</w:t>
      </w:r>
      <w:r w:rsidRPr="00D4406F">
        <w:tab/>
        <w:t>podkreśla, że władze belgijskie powinny zapewnić widoczność finansowania unijnego i zwracać uwagę na jego wartość dodaną za pomocą skutecznych i ukierunkowanych informacji dla beneficjentów, władz regionalnych i lokalnych, partnerów społecznych i ogółu społeczeństwa;</w:t>
      </w:r>
    </w:p>
    <w:p w14:paraId="2C803011" w14:textId="77777777" w:rsidR="003C0F55" w:rsidRPr="00D4406F" w:rsidRDefault="003C0F55" w:rsidP="003C0F55">
      <w:pPr>
        <w:pStyle w:val="NormalHanging12a"/>
      </w:pPr>
      <w:r w:rsidRPr="00D4406F">
        <w:t>10.</w:t>
      </w:r>
      <w:r w:rsidRPr="00D4406F">
        <w:tab/>
        <w:t>apeluje o przeprowadzenie dokładnych ocen końcowych wdrożonych środków, w tym o przedstawienie jasnych informacji na temat sposobu wykorzystania funduszy, powodzenia reintegracji pracowników na rynku pracy oraz tego, czy dzięki środkom osiągnięto cele, dla których utworzono EFG;</w:t>
      </w:r>
    </w:p>
    <w:p w14:paraId="4CC0CB26" w14:textId="77777777" w:rsidR="003C0F55" w:rsidRPr="00D4406F" w:rsidRDefault="003C0F55" w:rsidP="003C0F55">
      <w:pPr>
        <w:pStyle w:val="NormalHanging12a"/>
      </w:pPr>
      <w:r w:rsidRPr="00D4406F">
        <w:t>11.</w:t>
      </w:r>
      <w:r w:rsidRPr="00D4406F">
        <w:tab/>
        <w:t>odnotowuje, że 14 marca 2025 r. Belgia rozpoczęła świadczenie zindywidualizowanych usług na rzecz beneficjentów, a zatem okres kwalifikowalności do otrzymania wkładu finansowego z EFG będzie trwał od tego dnia do dnia przypadającego 24 miesiące od daty wejścia w życie decyzji w sprawie finansowania;</w:t>
      </w:r>
    </w:p>
    <w:p w14:paraId="1B3E5BE1" w14:textId="77777777" w:rsidR="003C0F55" w:rsidRPr="00D4406F" w:rsidRDefault="003C0F55" w:rsidP="003C0F55">
      <w:pPr>
        <w:pStyle w:val="NormalHanging12a"/>
        <w:rPr>
          <w:sz w:val="23"/>
          <w:szCs w:val="23"/>
        </w:rPr>
      </w:pPr>
      <w:r w:rsidRPr="00D4406F">
        <w:t>12.</w:t>
      </w:r>
      <w:r w:rsidRPr="00D4406F">
        <w:tab/>
        <w:t>odnotowuje, że Belgia zaczęła ponosić wydatki administracyjne związane z wdrażaniem EFG 6 marca 2025 r. i że takie wydatki kwalifikują się zatem do wkładu finansowego z EFG od tego dnia do dnia przypadającego 31 miesięcy od daty wejścia w życie decyzji w sprawie finansowania;</w:t>
      </w:r>
    </w:p>
    <w:p w14:paraId="42578FDE" w14:textId="77777777" w:rsidR="003C0F55" w:rsidRPr="00D4406F" w:rsidRDefault="003C0F55" w:rsidP="003C0F55">
      <w:pPr>
        <w:pStyle w:val="NormalHanging12a"/>
      </w:pPr>
      <w:r w:rsidRPr="00D4406F">
        <w:t>13.</w:t>
      </w:r>
      <w:r w:rsidRPr="00D4406F">
        <w:tab/>
        <w:t xml:space="preserve">zauważa, że władze belgijskie potwierdziły, iż przy dostępie do proponowanych działań </w:t>
      </w:r>
      <w:r w:rsidRPr="00D4406F">
        <w:lastRenderedPageBreak/>
        <w:t>i ich wdrażaniu przestrzegane będą zasady równego traktowania i niedyskryminacji oraz że będzie się zapobiegać ewentualnym przypadkom podwójnego finansowania;</w:t>
      </w:r>
    </w:p>
    <w:p w14:paraId="34371C47" w14:textId="77777777" w:rsidR="003C0F55" w:rsidRPr="00D4406F" w:rsidRDefault="003C0F55" w:rsidP="003C0F55">
      <w:pPr>
        <w:pStyle w:val="NormalHanging12a"/>
      </w:pPr>
      <w:r w:rsidRPr="00D4406F">
        <w:t>14.</w:t>
      </w:r>
      <w:r w:rsidRPr="00D4406F">
        <w:tab/>
        <w:t>przypomina, że pomoc z EFG nie może zastępować działań, za które na mocy prawa krajowego lub układów zbiorowych odpowiedzialne są władze publiczne lub przedsiębiorstwa; przypomina, że EFG jest mechanizmem ograniczonym, ukierunkowanym i uzupełniającym;</w:t>
      </w:r>
    </w:p>
    <w:p w14:paraId="4144A776" w14:textId="77777777" w:rsidR="003C0F55" w:rsidRPr="00D4406F" w:rsidRDefault="003C0F55" w:rsidP="003C0F55">
      <w:pPr>
        <w:pStyle w:val="NormalHanging12a"/>
      </w:pPr>
      <w:r w:rsidRPr="00D4406F">
        <w:t>15.</w:t>
      </w:r>
      <w:r w:rsidRPr="00D4406F">
        <w:tab/>
        <w:t>zatwierdza decyzję załączoną do niniejszej rezolucji;</w:t>
      </w:r>
    </w:p>
    <w:p w14:paraId="01D92147" w14:textId="77777777" w:rsidR="003C0F55" w:rsidRPr="00D4406F" w:rsidRDefault="003C0F55" w:rsidP="003C0F55">
      <w:pPr>
        <w:pStyle w:val="NormalHanging12a"/>
      </w:pPr>
      <w:r w:rsidRPr="00D4406F">
        <w:t>16.</w:t>
      </w:r>
      <w:r w:rsidRPr="00D4406F">
        <w:tab/>
        <w:t xml:space="preserve">zobowiązuje swoją przewodniczącą do podpisania wraz z przewodniczącym Rady niniejszej decyzji i zapewnienia jej publikacji w </w:t>
      </w:r>
      <w:r w:rsidRPr="00D4406F">
        <w:rPr>
          <w:i/>
          <w:iCs/>
        </w:rPr>
        <w:t>Dzienniku Urzędowym Unii Europejskiej</w:t>
      </w:r>
      <w:r w:rsidRPr="00D4406F">
        <w:t>;</w:t>
      </w:r>
    </w:p>
    <w:p w14:paraId="01DE583E" w14:textId="77777777" w:rsidR="003C0F55" w:rsidRPr="00D4406F" w:rsidRDefault="003C0F55" w:rsidP="003C0F55">
      <w:pPr>
        <w:pStyle w:val="NormalHanging12a"/>
      </w:pPr>
      <w:r w:rsidRPr="00D4406F">
        <w:t>17.</w:t>
      </w:r>
      <w:r w:rsidRPr="00D4406F">
        <w:tab/>
        <w:t>zobowiązuje swoją przewodniczącą do przekazania niniejszej rezolucji wraz z załącznikiem Radzie i Komisji.</w:t>
      </w:r>
    </w:p>
    <w:p w14:paraId="7478ADFC" w14:textId="77777777" w:rsidR="003C0F55" w:rsidRPr="00D4406F" w:rsidRDefault="003C0F55" w:rsidP="003C0F55">
      <w:pPr>
        <w:rPr>
          <w:noProof/>
        </w:rPr>
      </w:pPr>
    </w:p>
    <w:p w14:paraId="54B78093" w14:textId="77777777" w:rsidR="003C0F55" w:rsidRPr="00D4406F" w:rsidRDefault="003C0F55" w:rsidP="003C0F55">
      <w:pPr>
        <w:pStyle w:val="PageHeading"/>
        <w:rPr>
          <w:noProof/>
        </w:rPr>
        <w:sectPr w:rsidR="003C0F55" w:rsidRPr="00D4406F" w:rsidSect="00D4406F">
          <w:headerReference w:type="even" r:id="rId9"/>
          <w:footerReference w:type="even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9F926B3" w14:textId="77777777" w:rsidR="00CD1387" w:rsidRDefault="003C0F55" w:rsidP="003C0F55">
      <w:pPr>
        <w:pStyle w:val="PageHeading"/>
        <w:rPr>
          <w:rFonts w:ascii="Times New Roman" w:hAnsi="Times New Roman" w:cs="Times New Roman"/>
        </w:rPr>
      </w:pPr>
      <w:bookmarkStart w:id="6" w:name="_Toc221116748"/>
      <w:bookmarkStart w:id="7" w:name="_Toc224803428"/>
      <w:r w:rsidRPr="00CD1387">
        <w:rPr>
          <w:rFonts w:ascii="Times New Roman" w:hAnsi="Times New Roman" w:cs="Times New Roman"/>
        </w:rPr>
        <w:lastRenderedPageBreak/>
        <w:t>ZAŁĄCZNIK</w:t>
      </w:r>
      <w:bookmarkStart w:id="8" w:name="_Hlk219192825"/>
    </w:p>
    <w:p w14:paraId="1ECC7420" w14:textId="09D9F784" w:rsidR="003C0F55" w:rsidRPr="00CD1387" w:rsidRDefault="003C0F55" w:rsidP="003C0F55">
      <w:pPr>
        <w:pStyle w:val="PageHeading"/>
        <w:rPr>
          <w:rFonts w:ascii="Times New Roman" w:hAnsi="Times New Roman" w:cs="Times New Roman"/>
        </w:rPr>
      </w:pPr>
      <w:r w:rsidRPr="00CD1387">
        <w:rPr>
          <w:rFonts w:ascii="Times New Roman" w:hAnsi="Times New Roman" w:cs="Times New Roman"/>
        </w:rPr>
        <w:t>DECYZJA PARLAMENTU EUROPEJSKIEGO I RADY</w:t>
      </w:r>
      <w:bookmarkEnd w:id="6"/>
      <w:bookmarkEnd w:id="7"/>
    </w:p>
    <w:p w14:paraId="248FB89B" w14:textId="77777777" w:rsidR="003C0F55" w:rsidRDefault="003C0F55" w:rsidP="003C0F55">
      <w:pPr>
        <w:pStyle w:val="Titreobjet"/>
      </w:pPr>
      <w:r w:rsidRPr="00D4406F">
        <w:t>w sprawie uruchomienia Europejskiego Funduszu Dostosowania do Globalizacji dla Zwalnianych Pracowników w następstwie wniosku złożonego przez Belgię – EGF/2025/007 BE/</w:t>
      </w:r>
      <w:proofErr w:type="spellStart"/>
      <w:r w:rsidRPr="00D4406F">
        <w:t>Casa</w:t>
      </w:r>
      <w:proofErr w:type="spellEnd"/>
    </w:p>
    <w:p w14:paraId="40E30A20" w14:textId="3438D0D0" w:rsidR="00CD1387" w:rsidRPr="00CD1387" w:rsidRDefault="00CD1387" w:rsidP="00CD1387">
      <w:pPr>
        <w:rPr>
          <w:lang w:eastAsia="en-US"/>
        </w:rPr>
      </w:pPr>
      <w:r w:rsidRPr="00D550EC">
        <w:rPr>
          <w:i/>
        </w:rPr>
        <w:t xml:space="preserve">(Tekst tego załącznika nie został powtórzony w tym miejscu, ponieważ odpowiada on końcowej wersji decyzji </w:t>
      </w:r>
      <w:r>
        <w:rPr>
          <w:i/>
        </w:rPr>
        <w:t xml:space="preserve">(UE) </w:t>
      </w:r>
      <w:r w:rsidRPr="00D550EC">
        <w:rPr>
          <w:i/>
        </w:rPr>
        <w:t>20</w:t>
      </w:r>
      <w:r>
        <w:rPr>
          <w:i/>
        </w:rPr>
        <w:t>26</w:t>
      </w:r>
      <w:r w:rsidRPr="00D550EC">
        <w:rPr>
          <w:i/>
        </w:rPr>
        <w:t>/</w:t>
      </w:r>
      <w:r>
        <w:rPr>
          <w:i/>
        </w:rPr>
        <w:t>851</w:t>
      </w:r>
      <w:r w:rsidRPr="00D550EC">
        <w:rPr>
          <w:i/>
        </w:rPr>
        <w:t>.)</w:t>
      </w:r>
    </w:p>
    <w:bookmarkEnd w:id="8"/>
    <w:sectPr w:rsidR="00CD1387" w:rsidRPr="00CD1387" w:rsidSect="00D4406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D66E6" w14:textId="77777777" w:rsidR="004651FF" w:rsidRPr="00D4406F" w:rsidRDefault="004651FF">
      <w:r w:rsidRPr="00D4406F">
        <w:separator/>
      </w:r>
    </w:p>
  </w:endnote>
  <w:endnote w:type="continuationSeparator" w:id="0">
    <w:p w14:paraId="41FE82CD" w14:textId="77777777" w:rsidR="004651FF" w:rsidRPr="00D4406F" w:rsidRDefault="004651FF">
      <w:r w:rsidRPr="00D440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37CD6" w14:textId="77777777" w:rsidR="003C0F55" w:rsidRPr="00D4406F" w:rsidRDefault="003C0F55" w:rsidP="00DE6144">
    <w:pPr>
      <w:pStyle w:val="EPFooter"/>
    </w:pPr>
    <w:r w:rsidRPr="00D4406F">
      <w:t>PE</w:t>
    </w:r>
    <w:r w:rsidRPr="00D4406F">
      <w:rPr>
        <w:rStyle w:val="HideTWBExt"/>
      </w:rPr>
      <w:t>&lt;</w:t>
    </w:r>
    <w:proofErr w:type="spellStart"/>
    <w:r w:rsidRPr="00D4406F">
      <w:rPr>
        <w:rStyle w:val="HideTWBExt"/>
      </w:rPr>
      <w:t>NoPE</w:t>
    </w:r>
    <w:proofErr w:type="spellEnd"/>
    <w:r w:rsidRPr="00D4406F">
      <w:rPr>
        <w:rStyle w:val="HideTWBExt"/>
      </w:rPr>
      <w:t>&gt;</w:t>
    </w:r>
    <w:r w:rsidRPr="00D4406F">
      <w:t>784.477</w:t>
    </w:r>
    <w:r w:rsidRPr="00D4406F">
      <w:rPr>
        <w:rStyle w:val="HideTWBExt"/>
      </w:rPr>
      <w:t>&lt;/</w:t>
    </w:r>
    <w:proofErr w:type="spellStart"/>
    <w:r w:rsidRPr="00D4406F">
      <w:rPr>
        <w:rStyle w:val="HideTWBExt"/>
      </w:rPr>
      <w:t>NoPE</w:t>
    </w:r>
    <w:proofErr w:type="spellEnd"/>
    <w:r w:rsidRPr="00D4406F">
      <w:rPr>
        <w:rStyle w:val="HideTWBExt"/>
      </w:rPr>
      <w:t>&gt;&lt;Version&gt;</w:t>
    </w:r>
    <w:r w:rsidRPr="00D4406F">
      <w:t>v02-00</w:t>
    </w:r>
    <w:r w:rsidRPr="00D4406F">
      <w:rPr>
        <w:rStyle w:val="HideTWBExt"/>
      </w:rPr>
      <w:t>&lt;/Version&gt;</w:t>
    </w:r>
    <w:r w:rsidRPr="00D4406F">
      <w:tab/>
    </w:r>
    <w:r w:rsidRPr="00D4406F">
      <w:fldChar w:fldCharType="begin"/>
    </w:r>
    <w:r w:rsidRPr="00D4406F">
      <w:instrText xml:space="preserve"> PAGE  \* MERGEFORMAT </w:instrText>
    </w:r>
    <w:r w:rsidRPr="00D4406F">
      <w:fldChar w:fldCharType="separate"/>
    </w:r>
    <w:r w:rsidRPr="00D4406F">
      <w:rPr>
        <w:noProof/>
      </w:rPr>
      <w:t>2</w:t>
    </w:r>
    <w:r w:rsidRPr="00D4406F">
      <w:fldChar w:fldCharType="end"/>
    </w:r>
    <w:r w:rsidRPr="00D4406F">
      <w:t>/</w:t>
    </w:r>
    <w:fldSimple w:instr=" NUMPAGES  \* MERGEFORMAT ">
      <w:r w:rsidRPr="00D4406F">
        <w:rPr>
          <w:noProof/>
        </w:rPr>
        <w:t>18</w:t>
      </w:r>
    </w:fldSimple>
    <w:r w:rsidRPr="00D4406F">
      <w:tab/>
    </w:r>
    <w:r w:rsidRPr="00D4406F">
      <w:rPr>
        <w:rStyle w:val="HideTWBExt"/>
      </w:rPr>
      <w:t>&lt;PathFdR&gt;</w:t>
    </w:r>
    <w:r w:rsidRPr="00D4406F">
      <w:t>RR\1339712PL.docx</w:t>
    </w:r>
    <w:r w:rsidRPr="00D4406F">
      <w:rPr>
        <w:rStyle w:val="HideTWBExt"/>
      </w:rPr>
      <w:t>&lt;/</w:t>
    </w:r>
    <w:proofErr w:type="spellStart"/>
    <w:r w:rsidRPr="00D4406F">
      <w:rPr>
        <w:rStyle w:val="HideTWBExt"/>
      </w:rPr>
      <w:t>PathFdR</w:t>
    </w:r>
    <w:proofErr w:type="spellEnd"/>
    <w:r w:rsidRPr="00D4406F">
      <w:rPr>
        <w:rStyle w:val="HideTWBExt"/>
      </w:rPr>
      <w:t>&gt;</w:t>
    </w:r>
  </w:p>
  <w:p w14:paraId="6068D2A4" w14:textId="77777777" w:rsidR="003C0F55" w:rsidRPr="00D4406F" w:rsidRDefault="003C0F55" w:rsidP="00DE6144">
    <w:pPr>
      <w:pStyle w:val="EPFooter2"/>
    </w:pPr>
    <w:r w:rsidRPr="00D4406F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5F53" w14:textId="77777777" w:rsidR="003C0F55" w:rsidRPr="00D4406F" w:rsidRDefault="003C0F55" w:rsidP="00DE6144">
    <w:pPr>
      <w:pStyle w:val="EPFooter"/>
    </w:pPr>
    <w:r w:rsidRPr="00D4406F">
      <w:rPr>
        <w:rStyle w:val="HideTWBExt"/>
      </w:rPr>
      <w:t>&lt;PathFdR&gt;</w:t>
    </w:r>
    <w:r w:rsidRPr="00D4406F">
      <w:t>RR\1339712PL.docx</w:t>
    </w:r>
    <w:r w:rsidRPr="00D4406F">
      <w:rPr>
        <w:rStyle w:val="HideTWBExt"/>
      </w:rPr>
      <w:t>&lt;/</w:t>
    </w:r>
    <w:proofErr w:type="spellStart"/>
    <w:r w:rsidRPr="00D4406F">
      <w:rPr>
        <w:rStyle w:val="HideTWBExt"/>
      </w:rPr>
      <w:t>PathFdR</w:t>
    </w:r>
    <w:proofErr w:type="spellEnd"/>
    <w:r w:rsidRPr="00D4406F">
      <w:rPr>
        <w:rStyle w:val="HideTWBExt"/>
      </w:rPr>
      <w:t>&gt;</w:t>
    </w:r>
    <w:r w:rsidRPr="00D4406F">
      <w:tab/>
    </w:r>
    <w:r w:rsidRPr="00D4406F">
      <w:tab/>
      <w:t>PE</w:t>
    </w:r>
    <w:r w:rsidRPr="00D4406F">
      <w:rPr>
        <w:rStyle w:val="HideTWBExt"/>
      </w:rPr>
      <w:t>&lt;</w:t>
    </w:r>
    <w:proofErr w:type="spellStart"/>
    <w:r w:rsidRPr="00D4406F">
      <w:rPr>
        <w:rStyle w:val="HideTWBExt"/>
      </w:rPr>
      <w:t>NoPE</w:t>
    </w:r>
    <w:proofErr w:type="spellEnd"/>
    <w:r w:rsidRPr="00D4406F">
      <w:rPr>
        <w:rStyle w:val="HideTWBExt"/>
      </w:rPr>
      <w:t>&gt;</w:t>
    </w:r>
    <w:r w:rsidRPr="00D4406F">
      <w:t>784.477</w:t>
    </w:r>
    <w:r w:rsidRPr="00D4406F">
      <w:rPr>
        <w:rStyle w:val="HideTWBExt"/>
      </w:rPr>
      <w:t>&lt;/</w:t>
    </w:r>
    <w:proofErr w:type="spellStart"/>
    <w:r w:rsidRPr="00D4406F">
      <w:rPr>
        <w:rStyle w:val="HideTWBExt"/>
      </w:rPr>
      <w:t>NoPE</w:t>
    </w:r>
    <w:proofErr w:type="spellEnd"/>
    <w:r w:rsidRPr="00D4406F">
      <w:rPr>
        <w:rStyle w:val="HideTWBExt"/>
      </w:rPr>
      <w:t>&gt;&lt;Version&gt;</w:t>
    </w:r>
    <w:r w:rsidRPr="00D4406F">
      <w:t>v02-00</w:t>
    </w:r>
    <w:r w:rsidRPr="00D4406F">
      <w:rPr>
        <w:rStyle w:val="HideTWBExt"/>
      </w:rPr>
      <w:t>&lt;/Version&gt;</w:t>
    </w:r>
  </w:p>
  <w:p w14:paraId="5DE5BF81" w14:textId="77777777" w:rsidR="003C0F55" w:rsidRPr="00D4406F" w:rsidRDefault="003C0F55" w:rsidP="00DE6144">
    <w:pPr>
      <w:pStyle w:val="EPFooter2"/>
    </w:pPr>
    <w:r w:rsidRPr="00D4406F">
      <w:t>PL</w:t>
    </w:r>
    <w:r w:rsidRPr="00D4406F">
      <w:tab/>
    </w:r>
    <w:r w:rsidRPr="00D4406F">
      <w:rPr>
        <w:b w:val="0"/>
        <w:i/>
        <w:color w:val="C0C0C0"/>
        <w:sz w:val="22"/>
      </w:rPr>
      <w:t>Zjednoczona w różnorodności</w:t>
    </w:r>
    <w:r w:rsidRPr="00D4406F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9277" w14:textId="77777777" w:rsidR="00064002" w:rsidRPr="00D4406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C074" w14:textId="77777777" w:rsidR="00064002" w:rsidRPr="00D4406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1DFFC" w14:textId="77777777" w:rsidR="00064002" w:rsidRPr="00D440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30E60" w14:textId="77777777" w:rsidR="004651FF" w:rsidRPr="00D4406F" w:rsidRDefault="004651FF">
      <w:r w:rsidRPr="00D4406F">
        <w:separator/>
      </w:r>
    </w:p>
  </w:footnote>
  <w:footnote w:type="continuationSeparator" w:id="0">
    <w:p w14:paraId="7FA417DB" w14:textId="77777777" w:rsidR="004651FF" w:rsidRPr="00D4406F" w:rsidRDefault="004651FF">
      <w:r w:rsidRPr="00D4406F">
        <w:continuationSeparator/>
      </w:r>
    </w:p>
  </w:footnote>
  <w:footnote w:id="1">
    <w:p w14:paraId="7422A15C" w14:textId="15BE5FD3" w:rsidR="003C0F55" w:rsidRPr="00D4406F" w:rsidRDefault="003C0F55" w:rsidP="00D4406F">
      <w:pPr>
        <w:pStyle w:val="FootnoteText"/>
        <w:ind w:left="567" w:hanging="567"/>
        <w:rPr>
          <w:sz w:val="24"/>
          <w:lang w:val="pl-PL"/>
        </w:rPr>
      </w:pPr>
      <w:r w:rsidRPr="00D4406F">
        <w:rPr>
          <w:rStyle w:val="FootnoteReference"/>
          <w:sz w:val="24"/>
          <w:lang w:val="pl-PL"/>
        </w:rPr>
        <w:footnoteRef/>
      </w:r>
      <w:r w:rsidR="00D4406F" w:rsidRPr="00D4406F">
        <w:rPr>
          <w:sz w:val="24"/>
          <w:lang w:val="pl-PL"/>
        </w:rPr>
        <w:t xml:space="preserve"> </w:t>
      </w:r>
      <w:r w:rsidR="00D4406F" w:rsidRPr="00D4406F">
        <w:rPr>
          <w:sz w:val="24"/>
          <w:lang w:val="pl-PL"/>
        </w:rPr>
        <w:tab/>
      </w:r>
      <w:r w:rsidRPr="00D4406F">
        <w:rPr>
          <w:sz w:val="24"/>
          <w:lang w:val="pl-PL"/>
        </w:rPr>
        <w:t xml:space="preserve">Dz.U. L 153 z 3.5.2021, s. 48, ELI: </w:t>
      </w:r>
      <w:r>
        <w:fldChar w:fldCharType="begin"/>
      </w:r>
      <w:r w:rsidRPr="00CD1387">
        <w:rPr>
          <w:lang w:val="pl-PL"/>
        </w:rPr>
        <w:instrText>HYPERLINK "http://data.europa.eu/eli/reg/2021/691/oj"</w:instrText>
      </w:r>
      <w:r>
        <w:fldChar w:fldCharType="separate"/>
      </w:r>
      <w:r w:rsidRPr="00D4406F">
        <w:rPr>
          <w:rStyle w:val="Hyperlink"/>
          <w:sz w:val="24"/>
          <w:lang w:val="pl-PL"/>
        </w:rPr>
        <w:t>http://data.europa.eu/eli/reg/2021/691/oj</w:t>
      </w:r>
      <w:r>
        <w:fldChar w:fldCharType="end"/>
      </w:r>
      <w:r w:rsidRPr="00D4406F">
        <w:rPr>
          <w:sz w:val="24"/>
          <w:lang w:val="pl-PL"/>
        </w:rPr>
        <w:t>.</w:t>
      </w:r>
    </w:p>
  </w:footnote>
  <w:footnote w:id="2">
    <w:p w14:paraId="6F954187" w14:textId="1023AB72" w:rsidR="003C0F55" w:rsidRPr="00D4406F" w:rsidRDefault="003C0F55" w:rsidP="00D4406F">
      <w:pPr>
        <w:pStyle w:val="FootnoteText"/>
        <w:ind w:left="567" w:hanging="567"/>
        <w:rPr>
          <w:sz w:val="24"/>
          <w:lang w:val="pl-PL"/>
        </w:rPr>
      </w:pPr>
      <w:r w:rsidRPr="00D4406F">
        <w:rPr>
          <w:rStyle w:val="FootnoteReference"/>
          <w:sz w:val="24"/>
          <w:lang w:val="pl-PL"/>
        </w:rPr>
        <w:footnoteRef/>
      </w:r>
      <w:r w:rsidR="00D4406F" w:rsidRPr="00D4406F">
        <w:rPr>
          <w:sz w:val="24"/>
          <w:lang w:val="pl-PL"/>
        </w:rPr>
        <w:t xml:space="preserve"> </w:t>
      </w:r>
      <w:r w:rsidR="00D4406F" w:rsidRPr="00D4406F">
        <w:rPr>
          <w:sz w:val="24"/>
          <w:lang w:val="pl-PL"/>
        </w:rPr>
        <w:tab/>
      </w:r>
      <w:r w:rsidRPr="00D4406F">
        <w:rPr>
          <w:sz w:val="24"/>
          <w:lang w:val="pl-PL"/>
        </w:rPr>
        <w:t xml:space="preserve">Dz.U. L 433 I z 22.12.2020, s. 11, ELI: </w:t>
      </w:r>
      <w:hyperlink r:id="rId1" w:history="1">
        <w:r w:rsidRPr="00D4406F">
          <w:rPr>
            <w:rStyle w:val="Hyperlink"/>
            <w:sz w:val="24"/>
            <w:lang w:val="pl-PL"/>
          </w:rPr>
          <w:t>http://data.europa.eu/eli/reg/2020/2093/oj</w:t>
        </w:r>
      </w:hyperlink>
      <w:r w:rsidRPr="00D4406F">
        <w:rPr>
          <w:sz w:val="24"/>
          <w:lang w:val="pl-PL"/>
        </w:rPr>
        <w:t>.</w:t>
      </w:r>
    </w:p>
  </w:footnote>
  <w:footnote w:id="3">
    <w:p w14:paraId="4BFFC2AA" w14:textId="772D44C8" w:rsidR="003C0F55" w:rsidRPr="00D4406F" w:rsidRDefault="003C0F55" w:rsidP="00D4406F">
      <w:pPr>
        <w:pStyle w:val="FootnoteText"/>
        <w:ind w:left="567" w:hanging="567"/>
        <w:rPr>
          <w:sz w:val="24"/>
          <w:lang w:val="pl-PL"/>
        </w:rPr>
      </w:pPr>
      <w:r w:rsidRPr="00D4406F">
        <w:rPr>
          <w:rStyle w:val="FootnoteReference"/>
          <w:sz w:val="24"/>
          <w:lang w:val="pl-PL"/>
        </w:rPr>
        <w:footnoteRef/>
      </w:r>
      <w:r w:rsidR="00D4406F" w:rsidRPr="00D4406F">
        <w:rPr>
          <w:sz w:val="24"/>
          <w:shd w:val="clear" w:color="auto" w:fill="FFFFFF"/>
          <w:lang w:val="pl-PL"/>
        </w:rPr>
        <w:t xml:space="preserve"> </w:t>
      </w:r>
      <w:r w:rsidR="00D4406F" w:rsidRPr="00D4406F">
        <w:rPr>
          <w:sz w:val="24"/>
          <w:shd w:val="clear" w:color="auto" w:fill="FFFFFF"/>
          <w:lang w:val="pl-PL"/>
        </w:rPr>
        <w:tab/>
      </w:r>
      <w:r w:rsidRPr="00D4406F">
        <w:rPr>
          <w:sz w:val="24"/>
          <w:shd w:val="clear" w:color="auto" w:fill="FFFFFF"/>
          <w:lang w:val="pl-PL"/>
        </w:rPr>
        <w:t xml:space="preserve">Rozporządzenie Rady (UE, </w:t>
      </w:r>
      <w:proofErr w:type="spellStart"/>
      <w:r w:rsidRPr="00D4406F">
        <w:rPr>
          <w:sz w:val="24"/>
          <w:shd w:val="clear" w:color="auto" w:fill="FFFFFF"/>
          <w:lang w:val="pl-PL"/>
        </w:rPr>
        <w:t>Euratom</w:t>
      </w:r>
      <w:proofErr w:type="spellEnd"/>
      <w:r w:rsidRPr="00D4406F">
        <w:rPr>
          <w:sz w:val="24"/>
          <w:shd w:val="clear" w:color="auto" w:fill="FFFFFF"/>
          <w:lang w:val="pl-PL"/>
        </w:rPr>
        <w:t xml:space="preserve">) 2024/765 z dnia 29 lutego 2024 r. w sprawie zmiany rozporządzenia (UE, </w:t>
      </w:r>
      <w:proofErr w:type="spellStart"/>
      <w:r w:rsidRPr="00D4406F">
        <w:rPr>
          <w:sz w:val="24"/>
          <w:shd w:val="clear" w:color="auto" w:fill="FFFFFF"/>
          <w:lang w:val="pl-PL"/>
        </w:rPr>
        <w:t>Euratom</w:t>
      </w:r>
      <w:proofErr w:type="spellEnd"/>
      <w:r w:rsidRPr="00D4406F">
        <w:rPr>
          <w:sz w:val="24"/>
          <w:shd w:val="clear" w:color="auto" w:fill="FFFFFF"/>
          <w:lang w:val="pl-PL"/>
        </w:rPr>
        <w:t>) 2020/2093 określającego wieloletnie ramy finansowe na lata 2021–2027 (Dz.U. L, 2024/765, 29.2.2024, ELI:</w:t>
      </w:r>
      <w:r w:rsidRPr="00D4406F">
        <w:rPr>
          <w:color w:val="333333"/>
          <w:sz w:val="24"/>
          <w:shd w:val="clear" w:color="auto" w:fill="FFFFFF"/>
          <w:lang w:val="pl-PL"/>
        </w:rPr>
        <w:t xml:space="preserve"> </w:t>
      </w:r>
      <w:r>
        <w:fldChar w:fldCharType="begin"/>
      </w:r>
      <w:r w:rsidRPr="00CD1387">
        <w:rPr>
          <w:lang w:val="pl-PL"/>
        </w:rPr>
        <w:instrText>HYPERLINK "http://data.europa.eu/eli/reg/2024/765/oj"</w:instrText>
      </w:r>
      <w:r>
        <w:fldChar w:fldCharType="separate"/>
      </w:r>
      <w:r w:rsidRPr="00D4406F">
        <w:rPr>
          <w:rStyle w:val="Hyperlink"/>
          <w:sz w:val="24"/>
          <w:shd w:val="clear" w:color="auto" w:fill="FFFFFF"/>
          <w:lang w:val="pl-PL"/>
        </w:rPr>
        <w:t>http://data.europa.eu/eli/reg/2024/765/oj</w:t>
      </w:r>
      <w:r>
        <w:fldChar w:fldCharType="end"/>
      </w:r>
      <w:r w:rsidRPr="00D4406F">
        <w:rPr>
          <w:i/>
          <w:color w:val="333333"/>
          <w:sz w:val="24"/>
          <w:shd w:val="clear" w:color="auto" w:fill="FFFFFF"/>
          <w:lang w:val="pl-PL"/>
        </w:rPr>
        <w:t>).</w:t>
      </w:r>
    </w:p>
  </w:footnote>
  <w:footnote w:id="4">
    <w:p w14:paraId="2DDBDFE1" w14:textId="12CE7777" w:rsidR="003C0F55" w:rsidRPr="00D4406F" w:rsidRDefault="003C0F55" w:rsidP="00D4406F">
      <w:pPr>
        <w:pStyle w:val="FootnoteText"/>
        <w:ind w:left="567" w:hanging="567"/>
        <w:rPr>
          <w:sz w:val="24"/>
          <w:lang w:val="pl-PL"/>
        </w:rPr>
      </w:pPr>
      <w:r w:rsidRPr="00D4406F">
        <w:rPr>
          <w:rStyle w:val="FootnoteReference"/>
          <w:sz w:val="24"/>
          <w:lang w:val="pl-PL"/>
        </w:rPr>
        <w:footnoteRef/>
      </w:r>
      <w:r w:rsidR="00D4406F" w:rsidRPr="00D4406F">
        <w:rPr>
          <w:sz w:val="24"/>
          <w:lang w:val="pl-PL"/>
        </w:rPr>
        <w:t xml:space="preserve"> </w:t>
      </w:r>
      <w:r w:rsidR="00D4406F" w:rsidRPr="00D4406F">
        <w:rPr>
          <w:sz w:val="24"/>
          <w:lang w:val="pl-PL"/>
        </w:rPr>
        <w:tab/>
      </w:r>
      <w:r w:rsidRPr="00D4406F">
        <w:rPr>
          <w:sz w:val="24"/>
          <w:lang w:val="pl-PL"/>
        </w:rPr>
        <w:t xml:space="preserve">Dz.U. L 433 I z 22.12.2020, s. 28, ELI: </w:t>
      </w:r>
      <w:hyperlink r:id="rId2" w:history="1">
        <w:r w:rsidRPr="00D4406F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D4406F">
        <w:rPr>
          <w:sz w:val="24"/>
          <w:lang w:val="pl-PL"/>
        </w:rPr>
        <w:t>.</w:t>
      </w:r>
    </w:p>
  </w:footnote>
  <w:footnote w:id="5">
    <w:p w14:paraId="672898B2" w14:textId="78CA63E5" w:rsidR="003C0F55" w:rsidRPr="00D4406F" w:rsidRDefault="003C0F55" w:rsidP="00D4406F">
      <w:pPr>
        <w:pStyle w:val="FootnoteText"/>
        <w:ind w:left="567" w:hanging="567"/>
        <w:rPr>
          <w:sz w:val="24"/>
          <w:lang w:val="pl-PL"/>
        </w:rPr>
      </w:pPr>
      <w:r w:rsidRPr="00D4406F">
        <w:rPr>
          <w:rStyle w:val="FootnoteReference"/>
          <w:sz w:val="24"/>
          <w:lang w:val="pl-PL"/>
        </w:rPr>
        <w:footnoteRef/>
      </w:r>
      <w:r w:rsidR="00D4406F" w:rsidRPr="00D4406F">
        <w:rPr>
          <w:sz w:val="24"/>
          <w:lang w:val="pl-PL"/>
        </w:rPr>
        <w:t xml:space="preserve"> </w:t>
      </w:r>
      <w:r w:rsidR="00D4406F" w:rsidRPr="00D4406F">
        <w:rPr>
          <w:sz w:val="24"/>
          <w:lang w:val="pl-PL"/>
        </w:rPr>
        <w:tab/>
      </w:r>
      <w:r w:rsidRPr="00D4406F">
        <w:rPr>
          <w:sz w:val="24"/>
          <w:lang w:val="pl-PL"/>
        </w:rPr>
        <w:t>W rozumieniu art. 3 rozporządzenia w sprawie EFG.</w:t>
      </w:r>
    </w:p>
  </w:footnote>
  <w:footnote w:id="6">
    <w:p w14:paraId="1B76DC54" w14:textId="21A16D3C" w:rsidR="003C0F55" w:rsidRPr="00D4406F" w:rsidRDefault="003C0F55" w:rsidP="00D4406F">
      <w:pPr>
        <w:pStyle w:val="FootnoteText"/>
        <w:ind w:left="567" w:hanging="567"/>
        <w:rPr>
          <w:sz w:val="24"/>
          <w:lang w:val="pl-PL"/>
        </w:rPr>
      </w:pPr>
      <w:r w:rsidRPr="00D4406F">
        <w:rPr>
          <w:rStyle w:val="FootnoteReference"/>
          <w:sz w:val="24"/>
          <w:lang w:val="pl-PL"/>
        </w:rPr>
        <w:footnoteRef/>
      </w:r>
      <w:r w:rsidR="00D4406F" w:rsidRPr="00D4406F">
        <w:rPr>
          <w:sz w:val="24"/>
          <w:lang w:val="pl-PL"/>
        </w:rPr>
        <w:t xml:space="preserve"> </w:t>
      </w:r>
      <w:r w:rsidR="00D4406F" w:rsidRPr="00D4406F">
        <w:rPr>
          <w:sz w:val="24"/>
          <w:lang w:val="pl-PL"/>
        </w:rPr>
        <w:tab/>
      </w:r>
      <w:r w:rsidRPr="00D4406F">
        <w:rPr>
          <w:sz w:val="24"/>
          <w:lang w:val="pl-PL"/>
        </w:rPr>
        <w:t>Artykuł 8 rozporządzenia w sprawie WRF.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67462" w14:textId="77777777" w:rsidR="003C0F55" w:rsidRPr="00D4406F" w:rsidRDefault="003C0F55">
    <w:pPr>
      <w:pStyle w:val="Header"/>
    </w:pPr>
  </w:p>
  <w:p w14:paraId="1EBBAF3E" w14:textId="77777777" w:rsidR="003C0F55" w:rsidRPr="00D4406F" w:rsidRDefault="003C0F55"/>
  <w:p w14:paraId="213E969F" w14:textId="77777777" w:rsidR="003C0F55" w:rsidRPr="00D4406F" w:rsidRDefault="003C0F5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D0D1" w14:textId="77777777" w:rsidR="00064002" w:rsidRPr="00D440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FFA2" w14:textId="77777777" w:rsidR="00064002" w:rsidRPr="00D4406F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F5D98" w14:textId="77777777" w:rsidR="00064002" w:rsidRPr="00D440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0845525">
    <w:abstractNumId w:val="9"/>
  </w:num>
  <w:num w:numId="2" w16cid:durableId="730346815">
    <w:abstractNumId w:val="9"/>
  </w:num>
  <w:num w:numId="3" w16cid:durableId="1839270522">
    <w:abstractNumId w:val="7"/>
  </w:num>
  <w:num w:numId="4" w16cid:durableId="544370652">
    <w:abstractNumId w:val="7"/>
  </w:num>
  <w:num w:numId="5" w16cid:durableId="1417896078">
    <w:abstractNumId w:val="6"/>
  </w:num>
  <w:num w:numId="6" w16cid:durableId="1356686571">
    <w:abstractNumId w:val="6"/>
  </w:num>
  <w:num w:numId="7" w16cid:durableId="890574241">
    <w:abstractNumId w:val="5"/>
  </w:num>
  <w:num w:numId="8" w16cid:durableId="1649356225">
    <w:abstractNumId w:val="5"/>
  </w:num>
  <w:num w:numId="9" w16cid:durableId="1949702937">
    <w:abstractNumId w:val="4"/>
  </w:num>
  <w:num w:numId="10" w16cid:durableId="722212368">
    <w:abstractNumId w:val="4"/>
  </w:num>
  <w:num w:numId="11" w16cid:durableId="1004167031">
    <w:abstractNumId w:val="8"/>
  </w:num>
  <w:num w:numId="12" w16cid:durableId="1558977020">
    <w:abstractNumId w:val="8"/>
  </w:num>
  <w:num w:numId="13" w16cid:durableId="1961913851">
    <w:abstractNumId w:val="3"/>
  </w:num>
  <w:num w:numId="14" w16cid:durableId="1840658327">
    <w:abstractNumId w:val="3"/>
  </w:num>
  <w:num w:numId="15" w16cid:durableId="666247228">
    <w:abstractNumId w:val="2"/>
  </w:num>
  <w:num w:numId="16" w16cid:durableId="1591158287">
    <w:abstractNumId w:val="2"/>
  </w:num>
  <w:num w:numId="17" w16cid:durableId="258024462">
    <w:abstractNumId w:val="1"/>
  </w:num>
  <w:num w:numId="18" w16cid:durableId="453714432">
    <w:abstractNumId w:val="1"/>
  </w:num>
  <w:num w:numId="19" w16cid:durableId="480850457">
    <w:abstractNumId w:val="0"/>
  </w:num>
  <w:num w:numId="20" w16cid:durableId="1274022015">
    <w:abstractNumId w:val="0"/>
  </w:num>
  <w:num w:numId="21" w16cid:durableId="451826274">
    <w:abstractNumId w:val="9"/>
  </w:num>
  <w:num w:numId="22" w16cid:durableId="1393311634">
    <w:abstractNumId w:val="7"/>
  </w:num>
  <w:num w:numId="23" w16cid:durableId="685256067">
    <w:abstractNumId w:val="6"/>
  </w:num>
  <w:num w:numId="24" w16cid:durableId="65542724">
    <w:abstractNumId w:val="5"/>
  </w:num>
  <w:num w:numId="25" w16cid:durableId="963538220">
    <w:abstractNumId w:val="4"/>
  </w:num>
  <w:num w:numId="26" w16cid:durableId="1453550488">
    <w:abstractNumId w:val="8"/>
  </w:num>
  <w:num w:numId="27" w16cid:durableId="206069343">
    <w:abstractNumId w:val="3"/>
  </w:num>
  <w:num w:numId="28" w16cid:durableId="61762397">
    <w:abstractNumId w:val="2"/>
  </w:num>
  <w:num w:numId="29" w16cid:durableId="426198736">
    <w:abstractNumId w:val="1"/>
  </w:num>
  <w:num w:numId="30" w16cid:durableId="706101525">
    <w:abstractNumId w:val="0"/>
  </w:num>
  <w:num w:numId="31" w16cid:durableId="90392113">
    <w:abstractNumId w:val="9"/>
  </w:num>
  <w:num w:numId="32" w16cid:durableId="825584784">
    <w:abstractNumId w:val="7"/>
  </w:num>
  <w:num w:numId="33" w16cid:durableId="807093254">
    <w:abstractNumId w:val="6"/>
  </w:num>
  <w:num w:numId="34" w16cid:durableId="357662017">
    <w:abstractNumId w:val="5"/>
  </w:num>
  <w:num w:numId="35" w16cid:durableId="1649557049">
    <w:abstractNumId w:val="4"/>
  </w:num>
  <w:num w:numId="36" w16cid:durableId="2020236044">
    <w:abstractNumId w:val="8"/>
  </w:num>
  <w:num w:numId="37" w16cid:durableId="1931769305">
    <w:abstractNumId w:val="3"/>
  </w:num>
  <w:num w:numId="38" w16cid:durableId="1373117156">
    <w:abstractNumId w:val="2"/>
  </w:num>
  <w:num w:numId="39" w16cid:durableId="80294255">
    <w:abstractNumId w:val="1"/>
  </w:num>
  <w:num w:numId="40" w16cid:durableId="1568304791">
    <w:abstractNumId w:val="0"/>
  </w:num>
  <w:num w:numId="41" w16cid:durableId="225578072">
    <w:abstractNumId w:val="10"/>
  </w:num>
  <w:num w:numId="42" w16cid:durableId="1157302469">
    <w:abstractNumId w:val="10"/>
  </w:num>
  <w:num w:numId="43" w16cid:durableId="805659270">
    <w:abstractNumId w:val="10"/>
  </w:num>
  <w:num w:numId="44" w16cid:durableId="15274490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6"/>
    <w:docVar w:name="dvlangue" w:val="PL"/>
    <w:docVar w:name="dvnumam" w:val="0"/>
    <w:docVar w:name="dvpe" w:val="784.477"/>
    <w:docVar w:name="dvrapporteur" w:val="Sprawozdawca: "/>
    <w:docVar w:name="dvstar" w:val="??"/>
    <w:docVar w:name="dvtitre" w:val="Rezolucja Parlamentu Europejskiego z dnia  2026 r. w sprawie wniosku dotyczącego decyzji Parlamentu Europejskiego i Rady w sprawie uruchomienia Europejskiego Funduszu Dostosowania do Globalizacji dla Zwalnianych Pracowników w następstwie wniosku złożonego przez Belgię – EGF/2025/007 BE/Casa(COM(2026)0003 – C10-0025/2026 – 2026/0038(BUD))"/>
  </w:docVars>
  <w:rsids>
    <w:rsidRoot w:val="004651FF"/>
    <w:rsid w:val="00002272"/>
    <w:rsid w:val="00035FE8"/>
    <w:rsid w:val="000558EF"/>
    <w:rsid w:val="00064002"/>
    <w:rsid w:val="000677B9"/>
    <w:rsid w:val="000831BA"/>
    <w:rsid w:val="000A42CC"/>
    <w:rsid w:val="000B350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0F55"/>
    <w:rsid w:val="003E15D4"/>
    <w:rsid w:val="0041130D"/>
    <w:rsid w:val="00411CCE"/>
    <w:rsid w:val="0041666E"/>
    <w:rsid w:val="00421060"/>
    <w:rsid w:val="004651F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41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E8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300"/>
    <w:rsid w:val="00CC2357"/>
    <w:rsid w:val="00CD1387"/>
    <w:rsid w:val="00CF071A"/>
    <w:rsid w:val="00D058B8"/>
    <w:rsid w:val="00D4406F"/>
    <w:rsid w:val="00D44D68"/>
    <w:rsid w:val="00D56C11"/>
    <w:rsid w:val="00D834A0"/>
    <w:rsid w:val="00D872DF"/>
    <w:rsid w:val="00D91E21"/>
    <w:rsid w:val="00DA7FCD"/>
    <w:rsid w:val="00DF415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A13C8"/>
  <w15:chartTrackingRefBased/>
  <w15:docId w15:val="{C5526BD5-631F-4CE9-99EA-C6BB8EEB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C0F5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3C0F5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3C0F5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C0F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C0F55"/>
    <w:rPr>
      <w:sz w:val="24"/>
      <w:lang w:val="pl-PL"/>
    </w:rPr>
  </w:style>
  <w:style w:type="paragraph" w:customStyle="1" w:styleId="EPFooter">
    <w:name w:val="EPFooter"/>
    <w:basedOn w:val="Normal"/>
    <w:rsid w:val="003C0F5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C0F55"/>
    <w:pPr>
      <w:spacing w:before="480" w:after="240"/>
    </w:pPr>
  </w:style>
  <w:style w:type="character" w:styleId="Hyperlink">
    <w:name w:val="Hyperlink"/>
    <w:basedOn w:val="DefaultParagraphFont"/>
    <w:uiPriority w:val="99"/>
    <w:rsid w:val="003C0F55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C0F55"/>
    <w:rPr>
      <w:sz w:val="24"/>
      <w:lang w:val="pl-PL"/>
    </w:rPr>
  </w:style>
  <w:style w:type="character" w:customStyle="1" w:styleId="PageHeadingChar">
    <w:name w:val="PageHeading Char"/>
    <w:basedOn w:val="DefaultParagraphFont"/>
    <w:link w:val="PageHeading"/>
    <w:locked/>
    <w:rsid w:val="003C0F55"/>
    <w:rPr>
      <w:rFonts w:ascii="Arial" w:hAnsi="Arial" w:cs="Arial"/>
      <w:b/>
      <w:sz w:val="24"/>
      <w:lang w:val="pl-PL"/>
    </w:rPr>
  </w:style>
  <w:style w:type="paragraph" w:customStyle="1" w:styleId="Titreobjet">
    <w:name w:val="Titre objet"/>
    <w:basedOn w:val="Normal"/>
    <w:next w:val="Normal"/>
    <w:rsid w:val="003C0F5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C0F5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C0F5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C0F5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C0F5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C0F5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C0F55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C0F5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0/1222/oj" TargetMode="External"/><Relationship Id="rId1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1543</Words>
  <Characters>10429</Characters>
  <Application>Microsoft Office Word</Application>
  <DocSecurity>0</DocSecurity>
  <Lines>86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2026-05-22T07:15:00Z</dcterms:created>
  <dcterms:modified xsi:type="dcterms:W3CDTF">2026-05-22T07:15:00Z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P10_TA(2026)0102_</vt:lpwstr>
  </property>
  <property fmtid="{D5CDD505-2E9C-101B-9397-08002B2CF9AE}" pid="4" name="&lt;Type&gt;">
    <vt:lpwstr>RR</vt:lpwstr>
  </property>
</Properties>
</file>