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04978" w14:paraId="66E2BC2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EA866F8" w14:textId="77777777" w:rsidR="00751A4A" w:rsidRPr="00704978" w:rsidRDefault="00143405" w:rsidP="0010095E">
            <w:pPr>
              <w:pStyle w:val="EPName"/>
            </w:pPr>
            <w:r w:rsidRPr="00704978">
              <w:t xml:space="preserve">Parlamento </w:t>
            </w:r>
            <w:proofErr w:type="gramStart"/>
            <w:r w:rsidRPr="00704978">
              <w:t>Europeu</w:t>
            </w:r>
            <w:proofErr w:type="gramEnd"/>
          </w:p>
          <w:p w14:paraId="3D8301C0" w14:textId="77777777" w:rsidR="00751A4A" w:rsidRPr="0070497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04978">
              <w:t>2024</w:t>
            </w:r>
            <w:r w:rsidR="00817416" w:rsidRPr="00704978">
              <w:t>-202</w:t>
            </w:r>
            <w:r w:rsidRPr="00704978">
              <w:t>9</w:t>
            </w:r>
          </w:p>
        </w:tc>
        <w:tc>
          <w:tcPr>
            <w:tcW w:w="2268" w:type="dxa"/>
            <w:shd w:val="clear" w:color="auto" w:fill="auto"/>
          </w:tcPr>
          <w:p w14:paraId="65E6EB6E" w14:textId="77777777" w:rsidR="00751A4A" w:rsidRPr="00704978" w:rsidRDefault="00187494" w:rsidP="0010095E">
            <w:pPr>
              <w:pStyle w:val="EPLogo"/>
            </w:pPr>
            <w:r w:rsidRPr="00704978">
              <w:rPr>
                <w:noProof/>
                <w:lang w:eastAsia="ja-JP"/>
              </w:rPr>
              <w:drawing>
                <wp:inline distT="0" distB="0" distL="0" distR="0" wp14:anchorId="118FE9E5" wp14:editId="590CBA9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58A179" w14:textId="77777777" w:rsidR="00D058B8" w:rsidRPr="00704978" w:rsidRDefault="00D058B8" w:rsidP="004C5D52">
      <w:pPr>
        <w:pStyle w:val="LineTop"/>
      </w:pPr>
    </w:p>
    <w:p w14:paraId="1A37641E" w14:textId="77777777" w:rsidR="00680577" w:rsidRPr="00704978" w:rsidRDefault="00143405" w:rsidP="00680577">
      <w:pPr>
        <w:pStyle w:val="EPBodyTA1"/>
      </w:pPr>
      <w:r w:rsidRPr="00704978">
        <w:t>TEXTOS APROVADOS</w:t>
      </w:r>
    </w:p>
    <w:p w14:paraId="5A089F79" w14:textId="77777777" w:rsidR="00D058B8" w:rsidRPr="00704978" w:rsidRDefault="00D058B8" w:rsidP="00D058B8">
      <w:pPr>
        <w:pStyle w:val="LineBottom"/>
      </w:pPr>
    </w:p>
    <w:p w14:paraId="17DAD73A" w14:textId="5E72B26F" w:rsidR="00143405" w:rsidRPr="00704978" w:rsidRDefault="00143405" w:rsidP="00143405">
      <w:pPr>
        <w:pStyle w:val="ATHeading1"/>
      </w:pPr>
      <w:bookmarkStart w:id="0" w:name="TANumber"/>
      <w:r w:rsidRPr="00704978">
        <w:t>P10_TA(2026)0</w:t>
      </w:r>
      <w:bookmarkEnd w:id="0"/>
      <w:r w:rsidR="00704978">
        <w:t>102</w:t>
      </w:r>
    </w:p>
    <w:p w14:paraId="417F7F9F" w14:textId="77777777" w:rsidR="00143405" w:rsidRPr="00704978" w:rsidRDefault="00143405" w:rsidP="00143405">
      <w:pPr>
        <w:pStyle w:val="ATHeading2"/>
      </w:pPr>
      <w:bookmarkStart w:id="1" w:name="title"/>
      <w:r w:rsidRPr="00704978">
        <w:t>Mobilização do Fundo Europeu de Ajustamento à Globalização a favor dos Trabalhadores Despedidos: candidatura EGF/2025/007 BE/Casa — Bélgica</w:t>
      </w:r>
      <w:bookmarkEnd w:id="1"/>
    </w:p>
    <w:p w14:paraId="534FCF67" w14:textId="77777777" w:rsidR="00143405" w:rsidRPr="00704978" w:rsidRDefault="00143405" w:rsidP="00143405">
      <w:pPr>
        <w:rPr>
          <w:i/>
          <w:vanish/>
        </w:rPr>
      </w:pPr>
      <w:r w:rsidRPr="00704978">
        <w:rPr>
          <w:i/>
        </w:rPr>
        <w:fldChar w:fldCharType="begin"/>
      </w:r>
      <w:r w:rsidRPr="00704978">
        <w:rPr>
          <w:i/>
        </w:rPr>
        <w:instrText xml:space="preserve"> TC"(</w:instrText>
      </w:r>
      <w:bookmarkStart w:id="2" w:name="DocNumber"/>
      <w:r w:rsidRPr="00704978">
        <w:rPr>
          <w:i/>
        </w:rPr>
        <w:instrText>A10-0061/2026</w:instrText>
      </w:r>
      <w:bookmarkEnd w:id="2"/>
      <w:r w:rsidRPr="00704978">
        <w:rPr>
          <w:i/>
        </w:rPr>
        <w:instrText xml:space="preserve"> - Relator: Hélder Sousa Silva)"\l3 \n&gt; \* MERGEFORMAT </w:instrText>
      </w:r>
      <w:r w:rsidRPr="00704978">
        <w:rPr>
          <w:i/>
        </w:rPr>
        <w:fldChar w:fldCharType="end"/>
      </w:r>
    </w:p>
    <w:p w14:paraId="37D477B0" w14:textId="77777777" w:rsidR="00143405" w:rsidRPr="00704978" w:rsidRDefault="00143405" w:rsidP="00143405">
      <w:pPr>
        <w:rPr>
          <w:vanish/>
        </w:rPr>
      </w:pPr>
      <w:bookmarkStart w:id="3" w:name="Commission"/>
      <w:r w:rsidRPr="00704978">
        <w:rPr>
          <w:vanish/>
        </w:rPr>
        <w:t>Comissão dos Orçamentos</w:t>
      </w:r>
      <w:bookmarkEnd w:id="3"/>
    </w:p>
    <w:p w14:paraId="6D006989" w14:textId="77777777" w:rsidR="00143405" w:rsidRPr="00704978" w:rsidRDefault="00143405" w:rsidP="00143405">
      <w:pPr>
        <w:rPr>
          <w:vanish/>
        </w:rPr>
      </w:pPr>
      <w:bookmarkStart w:id="4" w:name="PE"/>
      <w:r w:rsidRPr="00704978">
        <w:rPr>
          <w:vanish/>
        </w:rPr>
        <w:t>PE784.477</w:t>
      </w:r>
      <w:bookmarkEnd w:id="4"/>
    </w:p>
    <w:p w14:paraId="279E1C86" w14:textId="640FF5CC" w:rsidR="00143405" w:rsidRPr="00704978" w:rsidRDefault="00143405" w:rsidP="00143405">
      <w:pPr>
        <w:pStyle w:val="ATHeading3"/>
      </w:pPr>
      <w:bookmarkStart w:id="5" w:name="Sujet"/>
      <w:r w:rsidRPr="00704978">
        <w:t xml:space="preserve">Resolução do Parlamento Europeu, de </w:t>
      </w:r>
      <w:r w:rsidR="0003006E" w:rsidRPr="00704978">
        <w:t>26</w:t>
      </w:r>
      <w:r w:rsidRPr="00704978">
        <w:t xml:space="preserve"> de </w:t>
      </w:r>
      <w:r w:rsidR="0003006E" w:rsidRPr="00704978">
        <w:t>março</w:t>
      </w:r>
      <w:r w:rsidRPr="00704978">
        <w:t xml:space="preserve"> de 2026, sobre a proposta de decisão do Parlamento Europeu e do Conselho relativa à mobilização do Fundo Europeu de Ajustamento à Globalização a favor dos Trabalhadores Despedidos na sequência de uma candidatura da Bélgica — EGF/2025/007 BE/Casa</w:t>
      </w:r>
      <w:bookmarkEnd w:id="5"/>
      <w:r w:rsidRPr="00704978">
        <w:t xml:space="preserve"> </w:t>
      </w:r>
      <w:bookmarkStart w:id="6" w:name="References"/>
      <w:r w:rsidRPr="00704978">
        <w:t>(COM(2026)0003 – C10-0025/2026 – 2026/0038(BUD))</w:t>
      </w:r>
      <w:bookmarkEnd w:id="6"/>
    </w:p>
    <w:p w14:paraId="63AF864D" w14:textId="77777777" w:rsidR="009F3B43" w:rsidRPr="00704978" w:rsidRDefault="009F3B43" w:rsidP="009F3B43">
      <w:pPr>
        <w:pStyle w:val="EPComma"/>
        <w:rPr>
          <w:noProof/>
        </w:rPr>
      </w:pPr>
      <w:r w:rsidRPr="00704978">
        <w:rPr>
          <w:i/>
        </w:rPr>
        <w:t>O Parlamento Europeu</w:t>
      </w:r>
      <w:r w:rsidRPr="00704978">
        <w:t>,</w:t>
      </w:r>
    </w:p>
    <w:p w14:paraId="5FC0128F" w14:textId="7A00F64F" w:rsidR="009F3B43" w:rsidRPr="00704978" w:rsidRDefault="009F3B43" w:rsidP="009F3B43">
      <w:pPr>
        <w:pStyle w:val="NormalHanging12a"/>
        <w:rPr>
          <w:noProof/>
        </w:rPr>
      </w:pPr>
      <w:r w:rsidRPr="00704978">
        <w:t>–</w:t>
      </w:r>
      <w:r w:rsidRPr="00704978">
        <w:tab/>
        <w:t>Tendo em conta a proposta da Comissão ao Parlamento Europeu e ao Conselho (COM(2026)0003 – C10</w:t>
      </w:r>
      <w:r w:rsidRPr="00704978">
        <w:noBreakHyphen/>
        <w:t>0025/2026),</w:t>
      </w:r>
    </w:p>
    <w:p w14:paraId="6694E8F0" w14:textId="77777777" w:rsidR="009F3B43" w:rsidRPr="00704978" w:rsidRDefault="009F3B43" w:rsidP="009F3B43">
      <w:pPr>
        <w:pStyle w:val="NormalHanging12a"/>
      </w:pPr>
      <w:r w:rsidRPr="00704978">
        <w:t>–</w:t>
      </w:r>
      <w:r w:rsidRPr="00704978">
        <w:tab/>
        <w:t>Tendo em conta o Regulamento (UE) 2021/691 do Parlamento Europeu e do Conselho, de 28 de abril de 2021, relativo ao Fundo Europeu de Ajustamento à Globalização a favor dos Trabalhadores Despedidos (FEG) e que revoga o Regulamento (UE) n.º 1309/2013</w:t>
      </w:r>
      <w:r w:rsidRPr="00704978">
        <w:rPr>
          <w:vertAlign w:val="superscript"/>
        </w:rPr>
        <w:footnoteReference w:id="1"/>
      </w:r>
      <w:r w:rsidRPr="00704978">
        <w:t xml:space="preserve"> («Regulamento FEG»), </w:t>
      </w:r>
    </w:p>
    <w:p w14:paraId="79B93C17" w14:textId="77777777" w:rsidR="009F3B43" w:rsidRPr="00704978" w:rsidRDefault="009F3B43" w:rsidP="009F3B43">
      <w:pPr>
        <w:pStyle w:val="NormalHanging12a"/>
        <w:rPr>
          <w:noProof/>
        </w:rPr>
      </w:pPr>
      <w:r w:rsidRPr="00704978">
        <w:t>–</w:t>
      </w:r>
      <w:r w:rsidRPr="00704978">
        <w:tab/>
        <w:t>Tendo em conta o Regulamento (UE, Euratom) 2020/2093 do Conselho, de 17 de dezembro de 2020, que estabelece o quadro financeiro plurianual para o período de 2021 a 2027 («Regulamento QFP»)</w:t>
      </w:r>
      <w:r w:rsidRPr="00704978">
        <w:rPr>
          <w:noProof/>
          <w:vertAlign w:val="superscript"/>
        </w:rPr>
        <w:footnoteReference w:id="2"/>
      </w:r>
      <w:r w:rsidRPr="00704978">
        <w:t>, com a redação que lhe foi dada pelo Regulamento (UE, Euratom) 2024/765</w:t>
      </w:r>
      <w:r w:rsidRPr="00704978">
        <w:rPr>
          <w:noProof/>
          <w:vertAlign w:val="superscript"/>
        </w:rPr>
        <w:footnoteReference w:id="3"/>
      </w:r>
      <w:r w:rsidRPr="00704978">
        <w:t xml:space="preserve">, nomeadamente o artigo 8.º, </w:t>
      </w:r>
    </w:p>
    <w:p w14:paraId="524336B1" w14:textId="3336A98E" w:rsidR="009F3B43" w:rsidRPr="00704978" w:rsidRDefault="009F3B43" w:rsidP="009F3B43">
      <w:pPr>
        <w:pStyle w:val="NormalHanging12a"/>
        <w:rPr>
          <w:noProof/>
        </w:rPr>
      </w:pPr>
      <w:r w:rsidRPr="00704978">
        <w:t>–</w:t>
      </w:r>
      <w:r w:rsidRPr="00704978">
        <w:tab/>
        <w:t>Tendo em conta o Acordo Interinstitucional</w:t>
      </w:r>
      <w:r w:rsidR="00242F64" w:rsidRPr="00704978">
        <w:t>,</w:t>
      </w:r>
      <w:r w:rsidRPr="00704978">
        <w:t xml:space="preserve"> de 16 de dezembro de 2020</w:t>
      </w:r>
      <w:r w:rsidR="00242F64" w:rsidRPr="00704978">
        <w:t>,</w:t>
      </w:r>
      <w:r w:rsidRPr="00704978">
        <w:t xml:space="preserve"> entre o Parlamento Europeu, o Conselho da União Europeia e a Comissão Europeia sobre a disciplina orçamental, a cooperação em matéria orçamental e a boa gestão financeira, bem como sobre os novos recursos próprios, incluindo um roteiro para a introdução de </w:t>
      </w:r>
      <w:r w:rsidRPr="00704978">
        <w:lastRenderedPageBreak/>
        <w:t>novos recursos próprios</w:t>
      </w:r>
      <w:r w:rsidRPr="00704978">
        <w:rPr>
          <w:rStyle w:val="FootnoteReference"/>
          <w:noProof/>
        </w:rPr>
        <w:footnoteReference w:id="4"/>
      </w:r>
      <w:r w:rsidRPr="00704978">
        <w:t>, nomeadamente o ponto 9,</w:t>
      </w:r>
    </w:p>
    <w:p w14:paraId="7795F359" w14:textId="77777777" w:rsidR="009F3B43" w:rsidRPr="00704978" w:rsidRDefault="009F3B43" w:rsidP="009F3B43">
      <w:pPr>
        <w:pStyle w:val="NormalHanging12a"/>
      </w:pPr>
      <w:r w:rsidRPr="00704978">
        <w:t>–</w:t>
      </w:r>
      <w:r w:rsidRPr="00704978">
        <w:tab/>
        <w:t>Tendo em conta o Pilar Europeu dos Direitos Sociais,</w:t>
      </w:r>
    </w:p>
    <w:p w14:paraId="4EA58F5F" w14:textId="77777777" w:rsidR="009F3B43" w:rsidRPr="00704978" w:rsidRDefault="009F3B43" w:rsidP="009F3B43">
      <w:pPr>
        <w:pStyle w:val="NormalHanging12a"/>
      </w:pPr>
      <w:r w:rsidRPr="00704978">
        <w:t>–</w:t>
      </w:r>
      <w:r w:rsidRPr="00704978">
        <w:tab/>
        <w:t>Tendo em conta a carta da Comissão do Emprego e dos Assuntos Sociais,</w:t>
      </w:r>
    </w:p>
    <w:p w14:paraId="407A1B09" w14:textId="77777777" w:rsidR="009F3B43" w:rsidRPr="00704978" w:rsidRDefault="009F3B43" w:rsidP="009F3B43">
      <w:pPr>
        <w:pStyle w:val="NormalHanging12a"/>
      </w:pPr>
      <w:r w:rsidRPr="00704978">
        <w:t>–</w:t>
      </w:r>
      <w:r w:rsidRPr="00704978">
        <w:tab/>
        <w:t>Tendo em conta o relatório da Comissão dos Orçamentos (A10</w:t>
      </w:r>
      <w:r w:rsidRPr="00704978">
        <w:noBreakHyphen/>
        <w:t>0061/2026),</w:t>
      </w:r>
    </w:p>
    <w:p w14:paraId="276BF4D9" w14:textId="30D67720" w:rsidR="009F3B43" w:rsidRPr="00704978" w:rsidRDefault="009F3B43" w:rsidP="009F3B43">
      <w:pPr>
        <w:pStyle w:val="NormalHanging12a"/>
        <w:rPr>
          <w:noProof/>
        </w:rPr>
      </w:pPr>
      <w:r w:rsidRPr="00704978">
        <w:t>A.</w:t>
      </w:r>
      <w:r w:rsidRPr="00704978">
        <w:tab/>
        <w:t xml:space="preserve">Considerando que a União criou instrumentos legislativos e orçamentais para prestar um apoio complementar aos trabalhadores afetados pelas consequências de importantes mudanças e acontecimentos com efeitos estruturais nos padrões do comércio mundial e para ajudar à sua reintegração no mercado de trabalho; </w:t>
      </w:r>
      <w:r w:rsidR="00242F64" w:rsidRPr="00704978">
        <w:t xml:space="preserve">considerando </w:t>
      </w:r>
      <w:r w:rsidRPr="00704978">
        <w:t>que esta assistência é prestada através de um apoio financeiro concedido aos trabalhadores;</w:t>
      </w:r>
    </w:p>
    <w:p w14:paraId="739CF4BB" w14:textId="77777777" w:rsidR="009F3B43" w:rsidRPr="00704978" w:rsidRDefault="009F3B43" w:rsidP="009F3B43">
      <w:pPr>
        <w:pStyle w:val="NormalHanging12a"/>
      </w:pPr>
      <w:r w:rsidRPr="00704978">
        <w:t>B.</w:t>
      </w:r>
      <w:r w:rsidRPr="00704978">
        <w:tab/>
        <w:t>Considerando que a Bélgica apresentou a candidatura EGF/2025/007 BE/Casa a uma contribuição financeira do FEG, na sequência de 416 despedimentos</w:t>
      </w:r>
      <w:r w:rsidRPr="00704978">
        <w:rPr>
          <w:vertAlign w:val="superscript"/>
        </w:rPr>
        <w:footnoteReference w:id="5"/>
      </w:r>
      <w:r w:rsidRPr="00704978">
        <w:t xml:space="preserve"> na Casa </w:t>
      </w:r>
      <w:proofErr w:type="spellStart"/>
      <w:r w:rsidRPr="00704978">
        <w:t>International</w:t>
      </w:r>
      <w:proofErr w:type="spellEnd"/>
      <w:r w:rsidRPr="00704978">
        <w:t xml:space="preserve"> NV (Casa), na Bélgica, nos setores económicos classificados nas divisões 47 (Mercados retalhistas, exceto de veículos automóveis e motociclos) e 52 (Armazenagem e atividades auxiliares dos transportes) da NACE Revisão 2, na região da província de Antuérpia (BE21), na Flandres, no período de referência entre 6 de março de 2025 e 6 de julho de 2025; </w:t>
      </w:r>
    </w:p>
    <w:p w14:paraId="6765AA35" w14:textId="57B2F7E0" w:rsidR="009F3B43" w:rsidRPr="00704978" w:rsidRDefault="009F3B43" w:rsidP="009F3B43">
      <w:pPr>
        <w:pStyle w:val="NormalHanging12a"/>
      </w:pPr>
      <w:r w:rsidRPr="00704978">
        <w:t>C.</w:t>
      </w:r>
      <w:r w:rsidRPr="00704978">
        <w:tab/>
        <w:t xml:space="preserve">Considerando que a candidatura se baseia nos critérios de intervenção previstos no artigo 4.º, n.º 2, alínea a), do Regulamento FEG; </w:t>
      </w:r>
      <w:r w:rsidR="004A0BEB" w:rsidRPr="00704978">
        <w:t xml:space="preserve">considerando </w:t>
      </w:r>
      <w:r w:rsidRPr="00704978">
        <w:t xml:space="preserve">que 257 despedimentos dizem respeito à empresa Casa </w:t>
      </w:r>
      <w:proofErr w:type="spellStart"/>
      <w:r w:rsidRPr="00704978">
        <w:t>International</w:t>
      </w:r>
      <w:proofErr w:type="spellEnd"/>
      <w:r w:rsidRPr="00704978">
        <w:t xml:space="preserve"> NV (mercados retalhistas), com 65 pontos de venda a retalho em toda a Bélgica, e que 159 despedimentos dizem respeito à Casa </w:t>
      </w:r>
      <w:proofErr w:type="spellStart"/>
      <w:r w:rsidRPr="00704978">
        <w:t>Logistics</w:t>
      </w:r>
      <w:proofErr w:type="spellEnd"/>
      <w:r w:rsidRPr="00704978">
        <w:t xml:space="preserve"> NV (armazenagem), </w:t>
      </w:r>
      <w:r w:rsidRPr="00704978">
        <w:rPr>
          <w:color w:val="000000"/>
        </w:rPr>
        <w:t>responsável pela armazenagem e pela distribuição a esses pontos de venda</w:t>
      </w:r>
      <w:r w:rsidRPr="00704978">
        <w:t xml:space="preserve">; </w:t>
      </w:r>
    </w:p>
    <w:p w14:paraId="423FB242" w14:textId="19737373" w:rsidR="009F3B43" w:rsidRPr="00704978" w:rsidRDefault="009F3B43" w:rsidP="009F3B43">
      <w:pPr>
        <w:pStyle w:val="NormalHanging12a"/>
        <w:rPr>
          <w:noProof/>
        </w:rPr>
      </w:pPr>
      <w:r w:rsidRPr="00704978">
        <w:t>D.</w:t>
      </w:r>
      <w:r w:rsidRPr="00704978">
        <w:tab/>
        <w:t xml:space="preserve">Considerando que a Casa declarou insolvência em 6 de março de 2025; </w:t>
      </w:r>
      <w:r w:rsidR="004A0BEB" w:rsidRPr="00704978">
        <w:t xml:space="preserve">considerando </w:t>
      </w:r>
      <w:r w:rsidRPr="00704978">
        <w:t xml:space="preserve">que, na Bélgica, as insolvências têm aumentado desde 2022, em particular no setor retalhista, que sofre atualmente uma profunda transformação estrutural impulsionada pelo aumento do comércio eletrónico e pela mudança de hábitos de consumo; </w:t>
      </w:r>
      <w:r w:rsidR="004A0BEB" w:rsidRPr="00704978">
        <w:t xml:space="preserve">considerando </w:t>
      </w:r>
      <w:r w:rsidRPr="00704978">
        <w:t>que as mulheres representam 67,5 % da mão de obra afetada neste caso; salienta, por conseguinte, que as medidas de apoio ao abrigo do FEG devem ter em conta as necessidades específicas dessas mulheres e os obstáculos com que se deparam para reingressar no mercado de trabalho;</w:t>
      </w:r>
    </w:p>
    <w:p w14:paraId="20A6633F" w14:textId="77777777" w:rsidR="009F3B43" w:rsidRPr="00704978" w:rsidRDefault="009F3B43" w:rsidP="009F3B43">
      <w:pPr>
        <w:pStyle w:val="NormalHanging12a"/>
      </w:pPr>
      <w:r w:rsidRPr="00704978">
        <w:t>E.</w:t>
      </w:r>
      <w:r w:rsidRPr="00704978">
        <w:tab/>
        <w:t>Considerando que o VDAB proporciona o pré</w:t>
      </w:r>
      <w:r w:rsidRPr="00704978">
        <w:noBreakHyphen/>
        <w:t>financiamento e o cofinanciamento nacionais das medidas;</w:t>
      </w:r>
    </w:p>
    <w:p w14:paraId="2A3A367D" w14:textId="77777777" w:rsidR="009F3B43" w:rsidRPr="00704978" w:rsidRDefault="009F3B43" w:rsidP="009F3B43">
      <w:pPr>
        <w:pStyle w:val="NormalHanging12a"/>
      </w:pPr>
      <w:r w:rsidRPr="00704978">
        <w:t>F.</w:t>
      </w:r>
      <w:r w:rsidRPr="00704978">
        <w:tab/>
        <w:t>Considerando que as empresas em causa cumpriram os requisitos definidos na legislação da União e na legislação nacional em matéria de despedimentos coletivos;</w:t>
      </w:r>
    </w:p>
    <w:p w14:paraId="164921A5" w14:textId="77777777" w:rsidR="009F3B43" w:rsidRPr="00704978" w:rsidRDefault="009F3B43" w:rsidP="009F3B43">
      <w:pPr>
        <w:pStyle w:val="NormalHanging12a"/>
      </w:pPr>
      <w:r w:rsidRPr="00704978">
        <w:t>G.</w:t>
      </w:r>
      <w:r w:rsidRPr="00704978">
        <w:tab/>
        <w:t>Considerando que as contribuições financeiras do FEG se devem destinar principalmente a medidas estratégicas ativas do mercado de trabalho e a serviços personalizados que visem reintegrar rapidamente os beneficiários no mercado de trabalho, proporcionando</w:t>
      </w:r>
      <w:r w:rsidRPr="00704978">
        <w:noBreakHyphen/>
        <w:t xml:space="preserve">lhes formação para o desenvolvimento de competências, a fim </w:t>
      </w:r>
      <w:r w:rsidRPr="00704978">
        <w:lastRenderedPageBreak/>
        <w:t>de facilitar o seu acesso ao mercado;</w:t>
      </w:r>
    </w:p>
    <w:p w14:paraId="0E9C6E51" w14:textId="77777777" w:rsidR="009F3B43" w:rsidRPr="00704978" w:rsidRDefault="009F3B43" w:rsidP="009F3B43">
      <w:pPr>
        <w:pStyle w:val="NormalHanging12a"/>
      </w:pPr>
      <w:r w:rsidRPr="00704978">
        <w:t>H.</w:t>
      </w:r>
      <w:r w:rsidRPr="00704978">
        <w:tab/>
        <w:t>Considerando que a intervenção do FEG não pode exceder o montante máximo anual de 30 milhões de EUR (preços de 2018)</w:t>
      </w:r>
      <w:r w:rsidRPr="00704978">
        <w:rPr>
          <w:rStyle w:val="FootnoteReference"/>
        </w:rPr>
        <w:footnoteReference w:id="6"/>
      </w:r>
      <w:r w:rsidRPr="00704978">
        <w:t xml:space="preserve">; </w:t>
      </w:r>
    </w:p>
    <w:p w14:paraId="2240D5D2" w14:textId="77777777" w:rsidR="009F3B43" w:rsidRPr="00704978" w:rsidRDefault="009F3B43" w:rsidP="009F3B43">
      <w:pPr>
        <w:pStyle w:val="NormalHanging12a"/>
      </w:pPr>
      <w:r w:rsidRPr="00704978">
        <w:t>1.</w:t>
      </w:r>
      <w:r w:rsidRPr="00704978">
        <w:tab/>
        <w:t>Partilha do ponto de vista da Comissão, segundo o qual as condições estabelecidas no Regulamento FEG, em especial no artigo 4.º, n.º 2, alínea a), estão preenchidas e a Bélgica tem direito a uma contribuição financeira no montante de 1 916 733 EUR ao abrigo do referido regulamento, o que representa 85 % do custo total de 2 254 980 EUR, incluindo despesas com serviços personalizados no valor de 2 168 980 EUR e despesas com atividades de preparação, gestão, informação e publicidade, acompanhamento e prestação de informações no valor de 86 000 EUR;</w:t>
      </w:r>
    </w:p>
    <w:p w14:paraId="2C579C34" w14:textId="77777777" w:rsidR="009F3B43" w:rsidRPr="00704978" w:rsidRDefault="009F3B43" w:rsidP="009F3B43">
      <w:pPr>
        <w:pStyle w:val="NormalHanging12a"/>
      </w:pPr>
      <w:r w:rsidRPr="00704978">
        <w:t>2.</w:t>
      </w:r>
      <w:r w:rsidRPr="00704978">
        <w:tab/>
        <w:t>Observa que as autoridades belgas apresentaram a candidatura em 23 de setembro de 2025 e que, na sequência da receção de informações adicionais apresentadas pela Bélgica, a avaliação do pedido foi concluída pela Comissão em 6 de fevereiro de 2026 e transmitida ao Parlamento em 11 de fevereiro de 2026; frisa a importância de encurtar o prazo entre a apresentação de um pedido de assistência do FEG e a decisão de financiamento, sem deixar de salvaguardar plenamente os direitos do Parlamento Europeu enquanto ramo da autoridade orçamental;</w:t>
      </w:r>
    </w:p>
    <w:p w14:paraId="3810323C" w14:textId="77777777" w:rsidR="009F3B43" w:rsidRPr="00704978" w:rsidRDefault="009F3B43" w:rsidP="009F3B43">
      <w:pPr>
        <w:pStyle w:val="NormalHanging12a"/>
      </w:pPr>
      <w:r w:rsidRPr="00704978">
        <w:t>3.</w:t>
      </w:r>
      <w:r w:rsidRPr="00704978">
        <w:tab/>
        <w:t>Assinala que a candidatura diz respeito a trabalhadores cuja atividade cessou em duas empresas da Casa e que todos os trabalhadores serão considerados beneficiários visados;</w:t>
      </w:r>
    </w:p>
    <w:p w14:paraId="6063FC3D" w14:textId="77777777" w:rsidR="009F3B43" w:rsidRPr="00704978" w:rsidRDefault="009F3B43" w:rsidP="009F3B43">
      <w:pPr>
        <w:pStyle w:val="NormalHanging12a"/>
      </w:pPr>
      <w:r w:rsidRPr="00704978">
        <w:t>4.</w:t>
      </w:r>
      <w:r w:rsidRPr="00704978">
        <w:tab/>
        <w:t>Constata que a Casa enfrentou dificuldades financeiras durante vários anos antes da declaração de insolvência, decorrentes da crescente prevalência do comércio eletrónico, do aumento da concorrência internacional e de condições de concorrência desleais, o que, em última análise, resultou numa grave escassez de liquidez e na incapacidade de identificar potenciais compradores para a empresa; salienta a necessidade de reforçar a capacidade da gestão empresarial para evitar despedimentos, através da adaptação ao atual contexto geopolítico e da resposta pró</w:t>
      </w:r>
      <w:r w:rsidRPr="00704978">
        <w:noBreakHyphen/>
        <w:t>ativa aos grandes casos de reestruturação;</w:t>
      </w:r>
    </w:p>
    <w:p w14:paraId="76D0A532" w14:textId="77777777" w:rsidR="009F3B43" w:rsidRPr="00704978" w:rsidRDefault="009F3B43" w:rsidP="009F3B43">
      <w:pPr>
        <w:pStyle w:val="NormalHanging12a"/>
        <w:rPr>
          <w:noProof/>
        </w:rPr>
      </w:pPr>
      <w:r w:rsidRPr="00704978">
        <w:t>5.</w:t>
      </w:r>
      <w:r w:rsidRPr="00704978">
        <w:tab/>
        <w:t xml:space="preserve">Regista que, embora os vendedores despedidos tenham perspetivas de emprego mais favoráveis, os trabalhadores de armazéns têm maiores dificuldades em encontrar novos trabalhos e precisam de apoio adicional através da melhoria de competências, da requalificação, da recolocação ou da </w:t>
      </w:r>
      <w:proofErr w:type="spellStart"/>
      <w:r w:rsidRPr="00704978">
        <w:t>reafetação</w:t>
      </w:r>
      <w:proofErr w:type="spellEnd"/>
      <w:r w:rsidRPr="00704978">
        <w:t>; insta as autoridades belgas a prestarem um apoio específico adaptado para ajudar os trabalhadores a superar as suas lacunas e a encontrar novos empregos, alinhados com as necessidades do mercado de trabalho; salienta que a reintegração dos trabalhadores despedidos é fundamental para uma economia europeia preparada para o futuro, com uma forte base industrial;</w:t>
      </w:r>
    </w:p>
    <w:p w14:paraId="3D5E64BA" w14:textId="77777777" w:rsidR="009F3B43" w:rsidRPr="00704978" w:rsidRDefault="009F3B43" w:rsidP="009F3B43">
      <w:pPr>
        <w:pStyle w:val="NormalHanging12a"/>
      </w:pPr>
      <w:r w:rsidRPr="00704978">
        <w:t>6.</w:t>
      </w:r>
      <w:r w:rsidRPr="00704978">
        <w:tab/>
        <w:t xml:space="preserve">Regista que o aumento das insolvências nos últimos dois anos teve um impacto negativo na taxa de emprego em algumas regiões da Bélgica, em particular em Bruxelas e em </w:t>
      </w:r>
      <w:proofErr w:type="spellStart"/>
      <w:r w:rsidRPr="00704978">
        <w:t>Olen</w:t>
      </w:r>
      <w:proofErr w:type="spellEnd"/>
      <w:r w:rsidRPr="00704978">
        <w:t xml:space="preserve"> (província de Antuérpia); observa que foram suprimidos cerca de 45 000 postos de trabalho na Bélgica num período de 18 meses devido a insolvências, na sua maioria registadas na Flandres; frisa que, na Flandres, o risco de desemprego mais do que duplica para as pessoas com baixo nível de escolaridade; salienta a importância de um ambiente favorável às empresas que lhes permita continuar a ser competitivas, crie </w:t>
      </w:r>
      <w:r w:rsidRPr="00704978">
        <w:lastRenderedPageBreak/>
        <w:t>emprego e contribua para o crescimento económico sustentável.</w:t>
      </w:r>
    </w:p>
    <w:p w14:paraId="694B0D42" w14:textId="77777777" w:rsidR="009F3B43" w:rsidRPr="00704978" w:rsidRDefault="009F3B43" w:rsidP="009F3B43">
      <w:pPr>
        <w:pStyle w:val="NormalHanging12a"/>
      </w:pPr>
      <w:r w:rsidRPr="00704978">
        <w:t>7.</w:t>
      </w:r>
      <w:r w:rsidRPr="00704978">
        <w:tab/>
        <w:t>Recorda que, em concertação com os peritos e os parceiros sociais, os serviços personalizados a prestar aos trabalhadores consistem nas seguintes medidas: sessões de informação destinadas a prestar orientações sobre a reintegração profissional, serviços de recolocação para orientar os trabalhadores na procura de emprego, mediação ativa centrada no perfil de cada candidato a emprego, programas personalizados para o desenvolvimento de competências, incluindo competências informáticas, formação e reconversão, formação individual no local de trabalho e participação numa feira de emprego; salienta a importância de promover empregos de elevada qualidade e orientados para o futuro que reforcem a competitividade e apoiem a transformação digital, assegurando simultaneamente que o FEG seja devidamente executado e contribua</w:t>
      </w:r>
      <w:r w:rsidRPr="00704978">
        <w:rPr>
          <w:b/>
          <w:i/>
        </w:rPr>
        <w:t xml:space="preserve"> </w:t>
      </w:r>
      <w:r w:rsidRPr="00704978">
        <w:t xml:space="preserve">para a resiliência económica e social a longo prazo da União; Ressalta que os parceiros sociais devem ser incluídos em todo o processo de execução das medidas do FEG, nomeadamente na fase de acompanhamento, a fim de garantir a qualidade e a pertinência do apoio prestado aos beneficiários; </w:t>
      </w:r>
    </w:p>
    <w:p w14:paraId="7F488712" w14:textId="77777777" w:rsidR="009F3B43" w:rsidRPr="00704978" w:rsidRDefault="009F3B43" w:rsidP="009F3B43">
      <w:pPr>
        <w:pStyle w:val="NormalHanging12a"/>
      </w:pPr>
      <w:r w:rsidRPr="00704978">
        <w:t>8.</w:t>
      </w:r>
      <w:r w:rsidRPr="00704978">
        <w:tab/>
        <w:t>Relembra que o FEG é um instrumento de solidariedade e de transição justa e que, embora preste apoio na sequência da perda de postos de trabalho, não deve substituir uma política industrial proativa; considera, por conseguinte, que a mobilização do FEG deve ser integrada numa resposta estratégica mais ampla, em todos os domínios de intervenção, a fim de garantir que os trabalhadores afetados encontrem oportunidades adequadas que correspondam às suas qualificações e competências; destaca que a principal tarefa da União deve ser, antes de mais, evitar esses encerramentos, criando condições para manter a produção industrial competitiva, ao mesmo tempo que investe no desenvolvimento das competências tanto dos trabalhadores altamente qualificados como dos trabalhadores industriais; sublinha a necessidade de prestar apoio específico adaptado aos perfis de trabalhadores com baixo nível de escolaridade, tomando simultaneamente medidas para reduzir o número de insolvências e combater as disparidades sociais que conduzem à exclusão do mercado de trabalho;</w:t>
      </w:r>
    </w:p>
    <w:p w14:paraId="1C72C589" w14:textId="77777777" w:rsidR="009F3B43" w:rsidRPr="00704978" w:rsidRDefault="009F3B43" w:rsidP="009F3B43">
      <w:pPr>
        <w:pStyle w:val="NormalHanging12a"/>
        <w:rPr>
          <w:bCs/>
          <w:iCs/>
        </w:rPr>
      </w:pPr>
      <w:r w:rsidRPr="00704978">
        <w:t>9.</w:t>
      </w:r>
      <w:r w:rsidRPr="00704978">
        <w:tab/>
        <w:t>Realça que as autoridades belgas devem garantir a visibilidade do financiamento da União e destacar o seu valor acrescentado, fornecendo informações concretas e específicas aos beneficiários, às autoridades regionais e locais, aos parceiros sociais e ao público em geral;</w:t>
      </w:r>
    </w:p>
    <w:p w14:paraId="7A10E651" w14:textId="77777777" w:rsidR="009F3B43" w:rsidRPr="00704978" w:rsidRDefault="009F3B43" w:rsidP="009F3B43">
      <w:pPr>
        <w:pStyle w:val="NormalHanging12a"/>
      </w:pPr>
      <w:r w:rsidRPr="00704978">
        <w:t>10.</w:t>
      </w:r>
      <w:r w:rsidRPr="00704978">
        <w:tab/>
        <w:t>Solicita avaliações finais exaustivas das medidas aplicadas, incluindo informações claras sobre a forma como os fundos foram utilizados, sobre o êxito da reintegração dos trabalhadores no mercado de trabalho e sobre se as medidas alcançaram os objetivos para os quais o FEG foi criado;</w:t>
      </w:r>
    </w:p>
    <w:p w14:paraId="7560B18D" w14:textId="77777777" w:rsidR="009F3B43" w:rsidRPr="00704978" w:rsidRDefault="009F3B43" w:rsidP="009F3B43">
      <w:pPr>
        <w:pStyle w:val="NormalHanging12a"/>
      </w:pPr>
      <w:r w:rsidRPr="00704978">
        <w:t>11.</w:t>
      </w:r>
      <w:r w:rsidRPr="00704978">
        <w:tab/>
        <w:t>Assinala que a Bélgica iniciou a prestação de serviços personalizados aos beneficiários visados em 14 de março de 2025 e que, portanto, o período de elegibilidade para uma contribuição financeira do FEG decorre a partir dessa data e até 24 meses após a data de entrada em vigor da decisão de financiamento;</w:t>
      </w:r>
    </w:p>
    <w:p w14:paraId="19885F71" w14:textId="77777777" w:rsidR="009F3B43" w:rsidRPr="00704978" w:rsidRDefault="009F3B43" w:rsidP="009F3B43">
      <w:pPr>
        <w:pStyle w:val="NormalHanging12a"/>
        <w:rPr>
          <w:sz w:val="23"/>
          <w:szCs w:val="23"/>
        </w:rPr>
      </w:pPr>
      <w:r w:rsidRPr="00704978">
        <w:t>12.</w:t>
      </w:r>
      <w:r w:rsidRPr="00704978">
        <w:tab/>
        <w:t>Assinala que a Bélgica iniciou as despesas administrativas para a execução do FEG em 6 de março de 2025 e que, por conseguinte, as referidas despesas são elegíveis para uma contribuição financeira do FEG a partir dessa data e até 31 meses após a data de entrada em vigor da decisão de financiamento;</w:t>
      </w:r>
    </w:p>
    <w:p w14:paraId="1FC23736" w14:textId="77777777" w:rsidR="009F3B43" w:rsidRPr="00704978" w:rsidRDefault="009F3B43" w:rsidP="009F3B43">
      <w:pPr>
        <w:pStyle w:val="NormalHanging12a"/>
      </w:pPr>
      <w:r w:rsidRPr="00704978">
        <w:t>13.</w:t>
      </w:r>
      <w:r w:rsidRPr="00704978">
        <w:tab/>
        <w:t xml:space="preserve">Observa que as autoridades belgas confirmaram que os princípios da igualdade de </w:t>
      </w:r>
      <w:r w:rsidRPr="00704978">
        <w:lastRenderedPageBreak/>
        <w:t>tratamento e da não discriminação serão respeitados no acesso às ações propostas e na sua execução, e que será evitado qualquer duplo financiamento;</w:t>
      </w:r>
    </w:p>
    <w:p w14:paraId="78CCDF31" w14:textId="77777777" w:rsidR="009F3B43" w:rsidRPr="00704978" w:rsidRDefault="009F3B43" w:rsidP="009F3B43">
      <w:pPr>
        <w:pStyle w:val="NormalHanging12a"/>
      </w:pPr>
      <w:r w:rsidRPr="00704978">
        <w:t>14.</w:t>
      </w:r>
      <w:r w:rsidRPr="00704978">
        <w:tab/>
        <w:t>Reitera que a assistência do FEG não deve substituir as medidas que são da responsabilidade das autoridades públicas ou das empresas ao abrigo da legislação nacional ou das convenções coletivas; recorda que o FEG é um mecanismo limitado, complementar e que tem um objetivo específico.</w:t>
      </w:r>
    </w:p>
    <w:p w14:paraId="669B4D10" w14:textId="77777777" w:rsidR="009F3B43" w:rsidRPr="00704978" w:rsidRDefault="009F3B43" w:rsidP="009F3B43">
      <w:pPr>
        <w:pStyle w:val="NormalHanging12a"/>
      </w:pPr>
      <w:r w:rsidRPr="00704978">
        <w:t>15.</w:t>
      </w:r>
      <w:r w:rsidRPr="00704978">
        <w:tab/>
        <w:t>Aprova a decisão anexa à presente resolução;</w:t>
      </w:r>
    </w:p>
    <w:p w14:paraId="6EE85F2A" w14:textId="77777777" w:rsidR="009F3B43" w:rsidRPr="00704978" w:rsidRDefault="009F3B43" w:rsidP="009F3B43">
      <w:pPr>
        <w:pStyle w:val="NormalHanging12a"/>
      </w:pPr>
      <w:r w:rsidRPr="00704978">
        <w:t>16.</w:t>
      </w:r>
      <w:r w:rsidRPr="00704978">
        <w:tab/>
        <w:t xml:space="preserve">Encarrega a sua Presidente de assinar a decisão em referência, juntamente com o Presidente do Conselho, e de prover à respetiva publicação no </w:t>
      </w:r>
      <w:r w:rsidRPr="00704978">
        <w:rPr>
          <w:i/>
        </w:rPr>
        <w:t>Jornal Oficial da União Europeia</w:t>
      </w:r>
      <w:r w:rsidRPr="00704978">
        <w:t>;</w:t>
      </w:r>
    </w:p>
    <w:p w14:paraId="6397ADDD" w14:textId="77777777" w:rsidR="009F3B43" w:rsidRPr="00704978" w:rsidRDefault="009F3B43" w:rsidP="009F3B43">
      <w:pPr>
        <w:pStyle w:val="NormalHanging12a"/>
      </w:pPr>
      <w:r w:rsidRPr="00704978">
        <w:t>17.</w:t>
      </w:r>
      <w:r w:rsidRPr="00704978">
        <w:tab/>
        <w:t>Encarrega a sua Presidente de transmitir a presente resolução e o respetivo anexo ao Conselho e à Comissão.</w:t>
      </w:r>
    </w:p>
    <w:p w14:paraId="7A062BB3" w14:textId="77777777" w:rsidR="009F3B43" w:rsidRPr="00704978" w:rsidRDefault="009F3B43" w:rsidP="009F3B43">
      <w:pPr>
        <w:rPr>
          <w:noProof/>
        </w:rPr>
      </w:pPr>
    </w:p>
    <w:p w14:paraId="59C76185" w14:textId="77777777" w:rsidR="009F3B43" w:rsidRPr="00704978" w:rsidRDefault="009F3B43" w:rsidP="009F3B43">
      <w:pPr>
        <w:pStyle w:val="PageHeading"/>
        <w:rPr>
          <w:noProof/>
        </w:rPr>
        <w:sectPr w:rsidR="009F3B43" w:rsidRPr="00704978" w:rsidSect="00BC36DE">
          <w:headerReference w:type="even" r:id="rId9"/>
          <w:footerReference w:type="even" r:id="rId10"/>
          <w:footerReference w:type="first" r:id="rId11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325FDE9" w14:textId="77777777" w:rsidR="0027172A" w:rsidRPr="0027172A" w:rsidRDefault="009F3B43" w:rsidP="009F3B43">
      <w:pPr>
        <w:pStyle w:val="PageHeading"/>
        <w:rPr>
          <w:rFonts w:ascii="Times New Roman" w:hAnsi="Times New Roman" w:cs="Times New Roman"/>
        </w:rPr>
      </w:pPr>
      <w:bookmarkStart w:id="7" w:name="_Toc221116748"/>
      <w:bookmarkStart w:id="8" w:name="_Toc224813355"/>
      <w:r w:rsidRPr="0027172A">
        <w:rPr>
          <w:rFonts w:ascii="Times New Roman" w:hAnsi="Times New Roman" w:cs="Times New Roman"/>
        </w:rPr>
        <w:lastRenderedPageBreak/>
        <w:t>ANEXO</w:t>
      </w:r>
      <w:bookmarkStart w:id="9" w:name="_Hlk219192825"/>
    </w:p>
    <w:p w14:paraId="50F50FF2" w14:textId="3B7E9BA6" w:rsidR="009F3B43" w:rsidRPr="0027172A" w:rsidRDefault="009F3B43" w:rsidP="009F3B43">
      <w:pPr>
        <w:pStyle w:val="PageHeading"/>
        <w:rPr>
          <w:rFonts w:ascii="Times New Roman" w:hAnsi="Times New Roman" w:cs="Times New Roman"/>
        </w:rPr>
      </w:pPr>
      <w:r w:rsidRPr="0027172A">
        <w:rPr>
          <w:rFonts w:ascii="Times New Roman" w:hAnsi="Times New Roman" w:cs="Times New Roman"/>
        </w:rPr>
        <w:t>DECISÃO DO PARLAMENTO EUROPEU E DO CONSELHO</w:t>
      </w:r>
      <w:bookmarkEnd w:id="7"/>
      <w:bookmarkEnd w:id="8"/>
    </w:p>
    <w:p w14:paraId="64718E94" w14:textId="51CB0054" w:rsidR="009F3B43" w:rsidRDefault="009F3B43" w:rsidP="009F3B43">
      <w:pPr>
        <w:pStyle w:val="Titreobjet"/>
      </w:pPr>
      <w:r w:rsidRPr="00704978">
        <w:t>relativa à mobilização do Fundo Europeu de Ajustamento à Globalização a favor dos Trabalhadores Despedidos na sequência de uma candidatura da Bélgica — EGF/2025/007</w:t>
      </w:r>
      <w:r w:rsidR="0027172A">
        <w:t> </w:t>
      </w:r>
      <w:r w:rsidRPr="00704978">
        <w:t>BE/Casa</w:t>
      </w:r>
    </w:p>
    <w:p w14:paraId="4FBD9F83" w14:textId="799B05B0" w:rsidR="0027172A" w:rsidRPr="0027172A" w:rsidRDefault="0027172A" w:rsidP="0027172A">
      <w:pPr>
        <w:rPr>
          <w:i/>
          <w:iCs/>
          <w:lang w:eastAsia="en-US"/>
        </w:rPr>
      </w:pPr>
      <w:r w:rsidRPr="0027172A">
        <w:rPr>
          <w:i/>
          <w:iCs/>
          <w:lang w:eastAsia="en-US"/>
        </w:rPr>
        <w:t>(O texto deste anexo não é aqui reproduzido dado que corresponde ao ato final, Decisão</w:t>
      </w:r>
      <w:r w:rsidR="007A2689">
        <w:rPr>
          <w:i/>
          <w:iCs/>
          <w:lang w:eastAsia="en-US"/>
        </w:rPr>
        <w:t> </w:t>
      </w:r>
      <w:r w:rsidRPr="0027172A">
        <w:rPr>
          <w:i/>
          <w:iCs/>
          <w:lang w:eastAsia="en-US"/>
        </w:rPr>
        <w:t>(UE) 2026/851.)</w:t>
      </w:r>
    </w:p>
    <w:bookmarkEnd w:id="9"/>
    <w:sectPr w:rsidR="0027172A" w:rsidRPr="0027172A" w:rsidSect="00BC36D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132CDA" w14:textId="77777777" w:rsidR="00143405" w:rsidRPr="00BC36DE" w:rsidRDefault="00143405">
      <w:r w:rsidRPr="00BC36DE">
        <w:separator/>
      </w:r>
    </w:p>
  </w:endnote>
  <w:endnote w:type="continuationSeparator" w:id="0">
    <w:p w14:paraId="519F9F47" w14:textId="77777777" w:rsidR="00143405" w:rsidRPr="00BC36DE" w:rsidRDefault="00143405">
      <w:r w:rsidRPr="00BC36D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6975C" w14:textId="77777777" w:rsidR="009F3B43" w:rsidRPr="00BC36DE" w:rsidRDefault="009F3B43" w:rsidP="00D953F2">
    <w:pPr>
      <w:pStyle w:val="EPFooter"/>
    </w:pPr>
    <w:r w:rsidRPr="00BC36DE">
      <w:t>PE</w:t>
    </w:r>
    <w:r w:rsidRPr="00BC36DE">
      <w:rPr>
        <w:rStyle w:val="HideTWBExt"/>
      </w:rPr>
      <w:t>&lt;NoPE&gt;</w:t>
    </w:r>
    <w:r w:rsidRPr="00BC36DE">
      <w:t>784.477</w:t>
    </w:r>
    <w:r w:rsidRPr="00BC36DE">
      <w:rPr>
        <w:rStyle w:val="HideTWBExt"/>
      </w:rPr>
      <w:t>&lt;/NoPE&gt;&lt;Version&gt;</w:t>
    </w:r>
    <w:r w:rsidRPr="00BC36DE">
      <w:t>v02</w:t>
    </w:r>
    <w:r w:rsidRPr="00BC36DE">
      <w:noBreakHyphen/>
      <w:t>00</w:t>
    </w:r>
    <w:r w:rsidRPr="00BC36DE">
      <w:rPr>
        <w:rStyle w:val="HideTWBExt"/>
      </w:rPr>
      <w:t>&lt;/Version&gt;</w:t>
    </w:r>
    <w:r w:rsidRPr="00BC36DE">
      <w:tab/>
    </w:r>
    <w:r w:rsidRPr="00BC36DE">
      <w:fldChar w:fldCharType="begin"/>
    </w:r>
    <w:r w:rsidRPr="00BC36DE">
      <w:instrText xml:space="preserve"> PAGE  \* MERGEFORMAT </w:instrText>
    </w:r>
    <w:r w:rsidRPr="00BC36DE">
      <w:fldChar w:fldCharType="separate"/>
    </w:r>
    <w:r w:rsidRPr="00BC36DE">
      <w:rPr>
        <w:noProof/>
      </w:rPr>
      <w:t>18</w:t>
    </w:r>
    <w:r w:rsidRPr="00BC36DE">
      <w:fldChar w:fldCharType="end"/>
    </w:r>
    <w:r w:rsidRPr="00BC36DE">
      <w:t>/</w:t>
    </w:r>
    <w:fldSimple w:instr=" NUMPAGES  \* MERGEFORMAT ">
      <w:r w:rsidRPr="00BC36DE">
        <w:rPr>
          <w:noProof/>
        </w:rPr>
        <w:t>19</w:t>
      </w:r>
    </w:fldSimple>
    <w:r w:rsidRPr="00BC36DE">
      <w:tab/>
    </w:r>
    <w:r w:rsidRPr="00BC36DE">
      <w:rPr>
        <w:rStyle w:val="HideTWBExt"/>
      </w:rPr>
      <w:t>&lt;PathFdR&gt;</w:t>
    </w:r>
    <w:r w:rsidRPr="00BC36DE">
      <w:t>RR\1339712PT.docx</w:t>
    </w:r>
    <w:r w:rsidRPr="00BC36DE">
      <w:rPr>
        <w:rStyle w:val="HideTWBExt"/>
      </w:rPr>
      <w:t>&lt;/PathFdR&gt;</w:t>
    </w:r>
  </w:p>
  <w:p w14:paraId="2A098DFF" w14:textId="77777777" w:rsidR="009F3B43" w:rsidRPr="00BC36DE" w:rsidRDefault="009F3B43" w:rsidP="00D953F2">
    <w:pPr>
      <w:pStyle w:val="EPFooter2"/>
    </w:pPr>
    <w:r w:rsidRPr="00BC36DE">
      <w:t>PT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BA3D8" w14:textId="77777777" w:rsidR="009F3B43" w:rsidRPr="00BC36DE" w:rsidRDefault="009F3B43" w:rsidP="00D953F2">
    <w:pPr>
      <w:pStyle w:val="EPFooter"/>
    </w:pPr>
    <w:r w:rsidRPr="00BC36DE">
      <w:rPr>
        <w:rStyle w:val="HideTWBExt"/>
      </w:rPr>
      <w:t>&lt;PathFdR&gt;</w:t>
    </w:r>
    <w:r w:rsidRPr="00BC36DE">
      <w:t>RR\1339712PT.docx</w:t>
    </w:r>
    <w:r w:rsidRPr="00BC36DE">
      <w:rPr>
        <w:rStyle w:val="HideTWBExt"/>
      </w:rPr>
      <w:t>&lt;/PathFdR&gt;</w:t>
    </w:r>
    <w:r w:rsidRPr="00BC36DE">
      <w:tab/>
    </w:r>
    <w:r w:rsidRPr="00BC36DE">
      <w:tab/>
      <w:t>PE</w:t>
    </w:r>
    <w:r w:rsidRPr="00BC36DE">
      <w:rPr>
        <w:rStyle w:val="HideTWBExt"/>
      </w:rPr>
      <w:t>&lt;NoPE&gt;</w:t>
    </w:r>
    <w:r w:rsidRPr="00BC36DE">
      <w:t>784.477</w:t>
    </w:r>
    <w:r w:rsidRPr="00BC36DE">
      <w:rPr>
        <w:rStyle w:val="HideTWBExt"/>
      </w:rPr>
      <w:t>&lt;/NoPE&gt;&lt;Version&gt;</w:t>
    </w:r>
    <w:r w:rsidRPr="00BC36DE">
      <w:t>v02</w:t>
    </w:r>
    <w:r w:rsidRPr="00BC36DE">
      <w:noBreakHyphen/>
      <w:t>00</w:t>
    </w:r>
    <w:r w:rsidRPr="00BC36DE">
      <w:rPr>
        <w:rStyle w:val="HideTWBExt"/>
      </w:rPr>
      <w:t>&lt;/Version&gt;</w:t>
    </w:r>
  </w:p>
  <w:p w14:paraId="30B9432D" w14:textId="77777777" w:rsidR="009F3B43" w:rsidRPr="00BC36DE" w:rsidRDefault="009F3B43" w:rsidP="00D953F2">
    <w:pPr>
      <w:pStyle w:val="EPFooter2"/>
    </w:pPr>
    <w:r w:rsidRPr="00BC36DE">
      <w:t>PT</w:t>
    </w:r>
    <w:r w:rsidRPr="00BC36DE">
      <w:tab/>
    </w:r>
    <w:r w:rsidRPr="00BC36DE">
      <w:rPr>
        <w:b w:val="0"/>
        <w:i/>
        <w:color w:val="C0C0C0"/>
        <w:sz w:val="22"/>
      </w:rPr>
      <w:t>Unida na diversidade</w:t>
    </w:r>
    <w:r w:rsidRPr="00BC36DE">
      <w:tab/>
      <w:t>PT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58616" w14:textId="77777777" w:rsidR="00064002" w:rsidRPr="00BC36DE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A2C11" w14:textId="77777777" w:rsidR="00064002" w:rsidRPr="00BC36DE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348FE" w14:textId="77777777" w:rsidR="00064002" w:rsidRPr="00BC36D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C77E6C" w14:textId="77777777" w:rsidR="00143405" w:rsidRPr="00BC36DE" w:rsidRDefault="00143405">
      <w:r w:rsidRPr="00BC36DE">
        <w:separator/>
      </w:r>
    </w:p>
  </w:footnote>
  <w:footnote w:type="continuationSeparator" w:id="0">
    <w:p w14:paraId="58CCC1B2" w14:textId="77777777" w:rsidR="00143405" w:rsidRPr="00BC36DE" w:rsidRDefault="00143405">
      <w:r w:rsidRPr="00BC36DE">
        <w:continuationSeparator/>
      </w:r>
    </w:p>
  </w:footnote>
  <w:footnote w:id="1">
    <w:p w14:paraId="40F37CF0" w14:textId="6BF4371D" w:rsidR="009F3B43" w:rsidRPr="00BC36DE" w:rsidRDefault="009F3B43" w:rsidP="00BC36DE">
      <w:pPr>
        <w:pStyle w:val="FootnoteText"/>
        <w:ind w:left="567" w:hanging="567"/>
        <w:rPr>
          <w:sz w:val="24"/>
          <w:lang w:val="pt-PT"/>
        </w:rPr>
      </w:pPr>
      <w:r w:rsidRPr="00BC36DE">
        <w:rPr>
          <w:rStyle w:val="FootnoteReference"/>
          <w:sz w:val="24"/>
          <w:lang w:val="pt-PT"/>
        </w:rPr>
        <w:footnoteRef/>
      </w:r>
      <w:r w:rsidR="00BC36DE" w:rsidRPr="00BC36DE">
        <w:rPr>
          <w:sz w:val="24"/>
          <w:lang w:val="pt-PT"/>
        </w:rPr>
        <w:t xml:space="preserve"> </w:t>
      </w:r>
      <w:r w:rsidR="00BC36DE" w:rsidRPr="00BC36DE">
        <w:rPr>
          <w:sz w:val="24"/>
          <w:lang w:val="pt-PT"/>
        </w:rPr>
        <w:tab/>
      </w:r>
      <w:r w:rsidRPr="00BC36DE">
        <w:rPr>
          <w:sz w:val="24"/>
          <w:lang w:val="pt-PT"/>
        </w:rPr>
        <w:t xml:space="preserve">JO L 153 de 3.5.2021, p. 48, ELI: </w:t>
      </w:r>
      <w:hyperlink r:id="rId1" w:history="1">
        <w:r w:rsidRPr="00BC36DE">
          <w:rPr>
            <w:rStyle w:val="Hyperlink"/>
            <w:sz w:val="24"/>
            <w:lang w:val="pt-PT"/>
          </w:rPr>
          <w:t>http://data.europa.eu/eli/reg/2021/691/oj</w:t>
        </w:r>
      </w:hyperlink>
      <w:r w:rsidRPr="00BC36DE">
        <w:rPr>
          <w:sz w:val="24"/>
          <w:lang w:val="pt-PT"/>
        </w:rPr>
        <w:t>.</w:t>
      </w:r>
    </w:p>
  </w:footnote>
  <w:footnote w:id="2">
    <w:p w14:paraId="580CD469" w14:textId="18E3ADCF" w:rsidR="009F3B43" w:rsidRPr="00BC36DE" w:rsidRDefault="009F3B43" w:rsidP="00BC36DE">
      <w:pPr>
        <w:pStyle w:val="FootnoteText"/>
        <w:ind w:left="567" w:hanging="567"/>
        <w:rPr>
          <w:sz w:val="24"/>
          <w:lang w:val="pt-PT"/>
        </w:rPr>
      </w:pPr>
      <w:r w:rsidRPr="00BC36DE">
        <w:rPr>
          <w:rStyle w:val="FootnoteReference"/>
          <w:sz w:val="24"/>
          <w:lang w:val="pt-PT"/>
        </w:rPr>
        <w:footnoteRef/>
      </w:r>
      <w:r w:rsidR="00BC36DE" w:rsidRPr="00BC36DE">
        <w:rPr>
          <w:sz w:val="24"/>
          <w:lang w:val="pt-PT"/>
        </w:rPr>
        <w:t xml:space="preserve"> </w:t>
      </w:r>
      <w:r w:rsidR="00BC36DE" w:rsidRPr="00BC36DE">
        <w:rPr>
          <w:sz w:val="24"/>
          <w:lang w:val="pt-PT"/>
        </w:rPr>
        <w:tab/>
      </w:r>
      <w:r w:rsidRPr="00BC36DE">
        <w:rPr>
          <w:sz w:val="24"/>
          <w:lang w:val="pt-PT"/>
        </w:rPr>
        <w:t xml:space="preserve">JO L 433 I de 22.12.2020, p. 11, ELI: </w:t>
      </w:r>
      <w:hyperlink r:id="rId2" w:history="1">
        <w:r w:rsidRPr="00BC36DE">
          <w:rPr>
            <w:rStyle w:val="Hyperlink"/>
            <w:sz w:val="24"/>
            <w:lang w:val="pt-PT"/>
          </w:rPr>
          <w:t>http://data.europa.eu/eli/reg/2020/2093/oj</w:t>
        </w:r>
      </w:hyperlink>
      <w:r w:rsidRPr="00BC36DE">
        <w:rPr>
          <w:sz w:val="24"/>
          <w:lang w:val="pt-PT"/>
        </w:rPr>
        <w:t>.</w:t>
      </w:r>
    </w:p>
  </w:footnote>
  <w:footnote w:id="3">
    <w:p w14:paraId="7F3DA18C" w14:textId="301B9A3F" w:rsidR="009F3B43" w:rsidRPr="00BC36DE" w:rsidRDefault="009F3B43" w:rsidP="00BC36DE">
      <w:pPr>
        <w:pStyle w:val="FootnoteText"/>
        <w:ind w:left="567" w:hanging="567"/>
        <w:rPr>
          <w:sz w:val="24"/>
          <w:lang w:val="pt-PT"/>
        </w:rPr>
      </w:pPr>
      <w:r w:rsidRPr="00BC36DE">
        <w:rPr>
          <w:rStyle w:val="FootnoteReference"/>
          <w:sz w:val="24"/>
          <w:lang w:val="pt-PT"/>
        </w:rPr>
        <w:footnoteRef/>
      </w:r>
      <w:r w:rsidR="00BC36DE" w:rsidRPr="00BC36DE">
        <w:rPr>
          <w:sz w:val="24"/>
          <w:shd w:val="clear" w:color="auto" w:fill="FFFFFF"/>
          <w:lang w:val="pt-PT"/>
        </w:rPr>
        <w:t xml:space="preserve"> </w:t>
      </w:r>
      <w:r w:rsidR="00BC36DE" w:rsidRPr="00BC36DE">
        <w:rPr>
          <w:sz w:val="24"/>
          <w:shd w:val="clear" w:color="auto" w:fill="FFFFFF"/>
          <w:lang w:val="pt-PT"/>
        </w:rPr>
        <w:tab/>
      </w:r>
      <w:r w:rsidRPr="00BC36DE">
        <w:rPr>
          <w:sz w:val="24"/>
          <w:shd w:val="clear" w:color="auto" w:fill="FFFFFF"/>
          <w:lang w:val="pt-PT"/>
        </w:rPr>
        <w:t>Regulamento (UE, Euratom) 2024/765 do Conselho, de 29 de fevereiro de 2024, que altera o Regulamento (UE, Euratom) 2020/2093 que estabelece o quadro financeiro plurianual para o período de 2021 a 2027 (JO L, 2024/765, 29.2.2024, ELI:</w:t>
      </w:r>
      <w:r w:rsidRPr="00BC36DE">
        <w:rPr>
          <w:color w:val="333333"/>
          <w:sz w:val="24"/>
          <w:shd w:val="clear" w:color="auto" w:fill="FFFFFF"/>
          <w:lang w:val="pt-PT"/>
        </w:rPr>
        <w:t xml:space="preserve"> </w:t>
      </w:r>
      <w:hyperlink r:id="rId3" w:history="1">
        <w:r w:rsidRPr="00BC36DE">
          <w:rPr>
            <w:rStyle w:val="Hyperlink"/>
            <w:sz w:val="24"/>
            <w:shd w:val="clear" w:color="auto" w:fill="FFFFFF"/>
            <w:lang w:val="pt-PT"/>
          </w:rPr>
          <w:t>http://data.europa.eu/eli/reg/2024/765/oj</w:t>
        </w:r>
      </w:hyperlink>
      <w:r w:rsidRPr="00BC36DE">
        <w:rPr>
          <w:i/>
          <w:color w:val="333333"/>
          <w:sz w:val="24"/>
          <w:shd w:val="clear" w:color="auto" w:fill="FFFFFF"/>
          <w:lang w:val="pt-PT"/>
        </w:rPr>
        <w:t>).</w:t>
      </w:r>
    </w:p>
  </w:footnote>
  <w:footnote w:id="4">
    <w:p w14:paraId="7A6B7D27" w14:textId="4DF7791A" w:rsidR="009F3B43" w:rsidRPr="00704978" w:rsidRDefault="009F3B43" w:rsidP="00BC36DE">
      <w:pPr>
        <w:pStyle w:val="FootnoteText"/>
        <w:ind w:left="567" w:hanging="567"/>
        <w:rPr>
          <w:sz w:val="24"/>
          <w:lang w:val="da-DK"/>
        </w:rPr>
      </w:pPr>
      <w:r w:rsidRPr="00BC36DE">
        <w:rPr>
          <w:rStyle w:val="FootnoteReference"/>
          <w:sz w:val="24"/>
          <w:lang w:val="pt-PT"/>
        </w:rPr>
        <w:footnoteRef/>
      </w:r>
      <w:r w:rsidR="00BC36DE" w:rsidRPr="00704978">
        <w:rPr>
          <w:sz w:val="24"/>
          <w:lang w:val="da-DK"/>
        </w:rPr>
        <w:t xml:space="preserve"> </w:t>
      </w:r>
      <w:r w:rsidR="00BC36DE" w:rsidRPr="00704978">
        <w:rPr>
          <w:sz w:val="24"/>
          <w:lang w:val="da-DK"/>
        </w:rPr>
        <w:tab/>
      </w:r>
      <w:r w:rsidRPr="00704978">
        <w:rPr>
          <w:sz w:val="24"/>
          <w:lang w:val="da-DK"/>
        </w:rPr>
        <w:t xml:space="preserve">JO L 433 I de 22.12.2020, p. </w:t>
      </w:r>
      <w:r w:rsidRPr="00704978">
        <w:rPr>
          <w:sz w:val="24"/>
          <w:lang w:val="da-DK"/>
        </w:rPr>
        <w:t xml:space="preserve">28, ELI: </w:t>
      </w:r>
      <w:hyperlink r:id="rId4" w:history="1">
        <w:r w:rsidRPr="00704978">
          <w:rPr>
            <w:rStyle w:val="Hyperlink"/>
            <w:sz w:val="24"/>
            <w:lang w:val="da-DK"/>
          </w:rPr>
          <w:t>http://data.europa.eu/eli/agree_interinstit/2020/1222/oj</w:t>
        </w:r>
      </w:hyperlink>
      <w:r w:rsidRPr="00704978">
        <w:rPr>
          <w:sz w:val="24"/>
          <w:lang w:val="da-DK"/>
        </w:rPr>
        <w:t>.</w:t>
      </w:r>
    </w:p>
  </w:footnote>
  <w:footnote w:id="5">
    <w:p w14:paraId="08AD46C5" w14:textId="2254C1B9" w:rsidR="009F3B43" w:rsidRPr="00BC36DE" w:rsidRDefault="009F3B43" w:rsidP="00BC36DE">
      <w:pPr>
        <w:pStyle w:val="FootnoteText"/>
        <w:ind w:left="567" w:hanging="567"/>
        <w:rPr>
          <w:sz w:val="24"/>
          <w:lang w:val="pt-PT"/>
        </w:rPr>
      </w:pPr>
      <w:r w:rsidRPr="00BC36DE">
        <w:rPr>
          <w:rStyle w:val="FootnoteReference"/>
          <w:sz w:val="24"/>
          <w:lang w:val="pt-PT"/>
        </w:rPr>
        <w:footnoteRef/>
      </w:r>
      <w:r w:rsidR="00BC36DE" w:rsidRPr="00BC36DE">
        <w:rPr>
          <w:sz w:val="24"/>
          <w:lang w:val="pt-PT"/>
        </w:rPr>
        <w:t xml:space="preserve"> </w:t>
      </w:r>
      <w:r w:rsidR="00BC36DE" w:rsidRPr="00BC36DE">
        <w:rPr>
          <w:sz w:val="24"/>
          <w:lang w:val="pt-PT"/>
        </w:rPr>
        <w:tab/>
      </w:r>
      <w:r w:rsidRPr="00BC36DE">
        <w:rPr>
          <w:sz w:val="24"/>
          <w:lang w:val="pt-PT"/>
        </w:rPr>
        <w:t>Na aceção do artigo 3.º do Regulamento FEG.</w:t>
      </w:r>
    </w:p>
  </w:footnote>
  <w:footnote w:id="6">
    <w:p w14:paraId="7A80A1F2" w14:textId="02E62236" w:rsidR="009F3B43" w:rsidRPr="00BC36DE" w:rsidRDefault="009F3B43" w:rsidP="00BC36DE">
      <w:pPr>
        <w:pStyle w:val="FootnoteText"/>
        <w:ind w:left="567" w:hanging="567"/>
        <w:rPr>
          <w:sz w:val="24"/>
          <w:lang w:val="pt-PT"/>
        </w:rPr>
      </w:pPr>
      <w:r w:rsidRPr="00BC36DE">
        <w:rPr>
          <w:rStyle w:val="FootnoteReference"/>
          <w:sz w:val="24"/>
          <w:lang w:val="pt-PT"/>
        </w:rPr>
        <w:footnoteRef/>
      </w:r>
      <w:r w:rsidR="00BC36DE" w:rsidRPr="00BC36DE">
        <w:rPr>
          <w:sz w:val="24"/>
          <w:lang w:val="pt-PT"/>
        </w:rPr>
        <w:t xml:space="preserve"> </w:t>
      </w:r>
      <w:r w:rsidR="00BC36DE" w:rsidRPr="00BC36DE">
        <w:rPr>
          <w:sz w:val="24"/>
          <w:lang w:val="pt-PT"/>
        </w:rPr>
        <w:tab/>
      </w:r>
      <w:r w:rsidRPr="00BC36DE">
        <w:rPr>
          <w:sz w:val="24"/>
          <w:lang w:val="pt-PT"/>
        </w:rPr>
        <w:t>Artigo 8.º do Regulamento QFP.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CDD5B" w14:textId="77777777" w:rsidR="009F3B43" w:rsidRPr="00BC36DE" w:rsidRDefault="009F3B43">
    <w:pPr>
      <w:pStyle w:val="Header"/>
    </w:pPr>
  </w:p>
  <w:p w14:paraId="6B349066" w14:textId="77777777" w:rsidR="009F3B43" w:rsidRPr="00BC36DE" w:rsidRDefault="009F3B43"/>
  <w:p w14:paraId="5A947691" w14:textId="77777777" w:rsidR="009F3B43" w:rsidRPr="00BC36DE" w:rsidRDefault="009F3B4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EC65C" w14:textId="77777777" w:rsidR="00064002" w:rsidRPr="00BC36D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66904" w14:textId="77777777" w:rsidR="00064002" w:rsidRPr="00BC36DE" w:rsidRDefault="00064002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C5A30" w14:textId="77777777" w:rsidR="00064002" w:rsidRPr="00BC36D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26175883">
    <w:abstractNumId w:val="9"/>
  </w:num>
  <w:num w:numId="2" w16cid:durableId="1274244744">
    <w:abstractNumId w:val="9"/>
  </w:num>
  <w:num w:numId="3" w16cid:durableId="897014120">
    <w:abstractNumId w:val="7"/>
  </w:num>
  <w:num w:numId="4" w16cid:durableId="1175459561">
    <w:abstractNumId w:val="7"/>
  </w:num>
  <w:num w:numId="5" w16cid:durableId="2139058961">
    <w:abstractNumId w:val="6"/>
  </w:num>
  <w:num w:numId="6" w16cid:durableId="161052326">
    <w:abstractNumId w:val="6"/>
  </w:num>
  <w:num w:numId="7" w16cid:durableId="761726771">
    <w:abstractNumId w:val="5"/>
  </w:num>
  <w:num w:numId="8" w16cid:durableId="1910462864">
    <w:abstractNumId w:val="5"/>
  </w:num>
  <w:num w:numId="9" w16cid:durableId="2043549428">
    <w:abstractNumId w:val="4"/>
  </w:num>
  <w:num w:numId="10" w16cid:durableId="1213612581">
    <w:abstractNumId w:val="4"/>
  </w:num>
  <w:num w:numId="11" w16cid:durableId="1061829093">
    <w:abstractNumId w:val="8"/>
  </w:num>
  <w:num w:numId="12" w16cid:durableId="1759907148">
    <w:abstractNumId w:val="8"/>
  </w:num>
  <w:num w:numId="13" w16cid:durableId="535892781">
    <w:abstractNumId w:val="3"/>
  </w:num>
  <w:num w:numId="14" w16cid:durableId="571698961">
    <w:abstractNumId w:val="3"/>
  </w:num>
  <w:num w:numId="15" w16cid:durableId="511191481">
    <w:abstractNumId w:val="2"/>
  </w:num>
  <w:num w:numId="16" w16cid:durableId="1049457510">
    <w:abstractNumId w:val="2"/>
  </w:num>
  <w:num w:numId="17" w16cid:durableId="498078452">
    <w:abstractNumId w:val="1"/>
  </w:num>
  <w:num w:numId="18" w16cid:durableId="578558130">
    <w:abstractNumId w:val="1"/>
  </w:num>
  <w:num w:numId="19" w16cid:durableId="848909080">
    <w:abstractNumId w:val="0"/>
  </w:num>
  <w:num w:numId="20" w16cid:durableId="2135980835">
    <w:abstractNumId w:val="0"/>
  </w:num>
  <w:num w:numId="21" w16cid:durableId="1333877893">
    <w:abstractNumId w:val="9"/>
  </w:num>
  <w:num w:numId="22" w16cid:durableId="328168993">
    <w:abstractNumId w:val="7"/>
  </w:num>
  <w:num w:numId="23" w16cid:durableId="683899383">
    <w:abstractNumId w:val="6"/>
  </w:num>
  <w:num w:numId="24" w16cid:durableId="1602637882">
    <w:abstractNumId w:val="5"/>
  </w:num>
  <w:num w:numId="25" w16cid:durableId="1483618748">
    <w:abstractNumId w:val="4"/>
  </w:num>
  <w:num w:numId="26" w16cid:durableId="1160079080">
    <w:abstractNumId w:val="8"/>
  </w:num>
  <w:num w:numId="27" w16cid:durableId="1399863891">
    <w:abstractNumId w:val="3"/>
  </w:num>
  <w:num w:numId="28" w16cid:durableId="1947537464">
    <w:abstractNumId w:val="2"/>
  </w:num>
  <w:num w:numId="29" w16cid:durableId="1293367036">
    <w:abstractNumId w:val="1"/>
  </w:num>
  <w:num w:numId="30" w16cid:durableId="8603828">
    <w:abstractNumId w:val="0"/>
  </w:num>
  <w:num w:numId="31" w16cid:durableId="451286669">
    <w:abstractNumId w:val="9"/>
  </w:num>
  <w:num w:numId="32" w16cid:durableId="1259680469">
    <w:abstractNumId w:val="7"/>
  </w:num>
  <w:num w:numId="33" w16cid:durableId="505249633">
    <w:abstractNumId w:val="6"/>
  </w:num>
  <w:num w:numId="34" w16cid:durableId="563178544">
    <w:abstractNumId w:val="5"/>
  </w:num>
  <w:num w:numId="35" w16cid:durableId="637802616">
    <w:abstractNumId w:val="4"/>
  </w:num>
  <w:num w:numId="36" w16cid:durableId="2054766983">
    <w:abstractNumId w:val="8"/>
  </w:num>
  <w:num w:numId="37" w16cid:durableId="1632518751">
    <w:abstractNumId w:val="3"/>
  </w:num>
  <w:num w:numId="38" w16cid:durableId="262344429">
    <w:abstractNumId w:val="2"/>
  </w:num>
  <w:num w:numId="39" w16cid:durableId="1509977894">
    <w:abstractNumId w:val="1"/>
  </w:num>
  <w:num w:numId="40" w16cid:durableId="913398363">
    <w:abstractNumId w:val="0"/>
  </w:num>
  <w:num w:numId="41" w16cid:durableId="696471488">
    <w:abstractNumId w:val="10"/>
  </w:num>
  <w:num w:numId="42" w16cid:durableId="25908458">
    <w:abstractNumId w:val="10"/>
  </w:num>
  <w:num w:numId="43" w16cid:durableId="515387349">
    <w:abstractNumId w:val="10"/>
  </w:num>
  <w:num w:numId="44" w16cid:durableId="1130147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61/2026"/>
    <w:docVar w:name="dvlangue" w:val="PT"/>
    <w:docVar w:name="dvnumam" w:val="0"/>
    <w:docVar w:name="dvpe" w:val="784.477"/>
    <w:docVar w:name="dvrapporteur" w:val="Relator: "/>
    <w:docVar w:name="dvtitre" w:val="Resolução do Parlamento Europeu, de ... de ... de 2026,_x000d__x000a_ sobre a proposta de decisão do Parlamento Europeu e do Conselho relativa à mobilização do Fundo Europeu de Ajustamento à Globalização a favor dos Trabalhadores Despedidos na sequência de uma candidatura da Bélgica — EGF/2025/007 BE/Casa(COM(2026)0003 – C10-0025/2026 – 2026/0038(BUD))"/>
  </w:docVars>
  <w:rsids>
    <w:rsidRoot w:val="00143405"/>
    <w:rsid w:val="00002272"/>
    <w:rsid w:val="0003006E"/>
    <w:rsid w:val="00064002"/>
    <w:rsid w:val="000677B9"/>
    <w:rsid w:val="000831BA"/>
    <w:rsid w:val="000A42CC"/>
    <w:rsid w:val="000E7DD9"/>
    <w:rsid w:val="0010095E"/>
    <w:rsid w:val="00125B37"/>
    <w:rsid w:val="00143405"/>
    <w:rsid w:val="00187494"/>
    <w:rsid w:val="001F32AE"/>
    <w:rsid w:val="00242F64"/>
    <w:rsid w:val="0027172A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0BEB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04978"/>
    <w:rsid w:val="00727969"/>
    <w:rsid w:val="00731ADD"/>
    <w:rsid w:val="00734777"/>
    <w:rsid w:val="00747932"/>
    <w:rsid w:val="00751A4A"/>
    <w:rsid w:val="00756632"/>
    <w:rsid w:val="00762C74"/>
    <w:rsid w:val="007856E3"/>
    <w:rsid w:val="00786EC0"/>
    <w:rsid w:val="007A2689"/>
    <w:rsid w:val="007D1690"/>
    <w:rsid w:val="007E22AD"/>
    <w:rsid w:val="00817416"/>
    <w:rsid w:val="00842779"/>
    <w:rsid w:val="00865F67"/>
    <w:rsid w:val="00881A7B"/>
    <w:rsid w:val="008840E5"/>
    <w:rsid w:val="00887B3E"/>
    <w:rsid w:val="008977D7"/>
    <w:rsid w:val="008C2AC6"/>
    <w:rsid w:val="00930C23"/>
    <w:rsid w:val="0093193B"/>
    <w:rsid w:val="009509D8"/>
    <w:rsid w:val="00950B64"/>
    <w:rsid w:val="00981893"/>
    <w:rsid w:val="009F3B43"/>
    <w:rsid w:val="009F42CD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36DE"/>
    <w:rsid w:val="00BD48FE"/>
    <w:rsid w:val="00BD7BD8"/>
    <w:rsid w:val="00BE6ADC"/>
    <w:rsid w:val="00BF4021"/>
    <w:rsid w:val="00C05BFE"/>
    <w:rsid w:val="00C23CD4"/>
    <w:rsid w:val="00C61C0C"/>
    <w:rsid w:val="00C70472"/>
    <w:rsid w:val="00C941CB"/>
    <w:rsid w:val="00CB3EDE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2D77"/>
    <w:rsid w:val="00F149E9"/>
    <w:rsid w:val="00F5134D"/>
    <w:rsid w:val="00F74202"/>
    <w:rsid w:val="00F80FAF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2F1E05"/>
  <w15:chartTrackingRefBased/>
  <w15:docId w15:val="{9197A0D4-CFC1-4829-8319-B6F572B6F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Footnote,Footnote Reference Number,Footnote Reference Superscript,Footnote Reference_LVL6,Footnote Reference_LVL61,Footnote Reference_LVL62,Footnote Reference_LVL63,Footnote symbol,Superscript 6 Point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9F3B4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link w:val="PageHeadingChar"/>
    <w:rsid w:val="009F3B4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9F3B43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9F3B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F3B43"/>
    <w:rPr>
      <w:sz w:val="24"/>
      <w:lang w:val="pt-PT"/>
    </w:rPr>
  </w:style>
  <w:style w:type="paragraph" w:customStyle="1" w:styleId="EPFooter">
    <w:name w:val="EPFooter"/>
    <w:basedOn w:val="Normal"/>
    <w:rsid w:val="009F3B4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F3B43"/>
    <w:pPr>
      <w:spacing w:before="480" w:after="240"/>
    </w:pPr>
  </w:style>
  <w:style w:type="character" w:styleId="Hyperlink">
    <w:name w:val="Hyperlink"/>
    <w:basedOn w:val="DefaultParagraphFont"/>
    <w:uiPriority w:val="99"/>
    <w:rsid w:val="009F3B43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9F3B43"/>
    <w:rPr>
      <w:sz w:val="24"/>
      <w:lang w:val="pt-PT"/>
    </w:rPr>
  </w:style>
  <w:style w:type="character" w:customStyle="1" w:styleId="PageHeadingChar">
    <w:name w:val="PageHeading Char"/>
    <w:basedOn w:val="DefaultParagraphFont"/>
    <w:link w:val="PageHeading"/>
    <w:locked/>
    <w:rsid w:val="009F3B43"/>
    <w:rPr>
      <w:rFonts w:ascii="Arial" w:hAnsi="Arial" w:cs="Arial"/>
      <w:b/>
      <w:sz w:val="24"/>
      <w:lang w:val="pt-PT"/>
    </w:rPr>
  </w:style>
  <w:style w:type="paragraph" w:customStyle="1" w:styleId="Titreobjet">
    <w:name w:val="Titre objet"/>
    <w:basedOn w:val="Normal"/>
    <w:next w:val="Normal"/>
    <w:rsid w:val="009F3B43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9F3B43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9F3B43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9F3B43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9F3B43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9F3B43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9F3B43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9F3B43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styleId="Revision">
    <w:name w:val="Revision"/>
    <w:hidden/>
    <w:uiPriority w:val="99"/>
    <w:semiHidden/>
    <w:rsid w:val="0003006E"/>
    <w:rPr>
      <w:sz w:val="24"/>
      <w:lang w:val="pt-PT"/>
    </w:rPr>
  </w:style>
  <w:style w:type="character" w:styleId="CommentReference">
    <w:name w:val="annotation reference"/>
    <w:basedOn w:val="DefaultParagraphFont"/>
    <w:rsid w:val="0003006E"/>
    <w:rPr>
      <w:sz w:val="16"/>
      <w:szCs w:val="16"/>
    </w:rPr>
  </w:style>
  <w:style w:type="paragraph" w:styleId="CommentText">
    <w:name w:val="annotation text"/>
    <w:basedOn w:val="Normal"/>
    <w:link w:val="CommentTextChar"/>
    <w:rsid w:val="0003006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3006E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0300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3006E"/>
    <w:rPr>
      <w:b/>
      <w:bCs/>
      <w:lang w:val="pt-PT"/>
    </w:rPr>
  </w:style>
  <w:style w:type="character" w:styleId="UnresolvedMention">
    <w:name w:val="Unresolved Mention"/>
    <w:basedOn w:val="DefaultParagraphFont"/>
    <w:uiPriority w:val="99"/>
    <w:semiHidden/>
    <w:unhideWhenUsed/>
    <w:rsid w:val="0003006E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rsid w:val="00242F6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42F64"/>
    <w:rPr>
      <w:sz w:val="24"/>
      <w:lang w:val="pt-PT"/>
    </w:rPr>
  </w:style>
  <w:style w:type="character" w:styleId="FollowedHyperlink">
    <w:name w:val="FollowedHyperlink"/>
    <w:basedOn w:val="DefaultParagraphFont"/>
    <w:rsid w:val="00242F6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4/765/oj" TargetMode="External"/><Relationship Id="rId2" Type="http://schemas.openxmlformats.org/officeDocument/2006/relationships/hyperlink" Target="http://data.europa.eu/eli/reg/2020/2093/oj" TargetMode="External"/><Relationship Id="rId1" Type="http://schemas.openxmlformats.org/officeDocument/2006/relationships/hyperlink" Target="http://data.europa.eu/eli/reg/2021/691/oj" TargetMode="External"/><Relationship Id="rId4" Type="http://schemas.openxmlformats.org/officeDocument/2006/relationships/hyperlink" Target="http://data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1874</Words>
  <Characters>10550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2026-05-22T09:17:00Z</dcterms:created>
  <dcterms:modified xsi:type="dcterms:W3CDTF">2026-05-22T09:17:00Z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P10_TA(2026)0102_</vt:lpwstr>
  </property>
  <property fmtid="{D5CDD505-2E9C-101B-9397-08002B2CF9AE}" pid="4" name="&lt;Type&gt;">
    <vt:lpwstr>RR</vt:lpwstr>
  </property>
</Properties>
</file>