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1236D" w14:paraId="686F8D95" w14:textId="77777777" w:rsidTr="0010095E">
        <w:trPr>
          <w:trHeight w:hRule="exact" w:val="1418"/>
        </w:trPr>
        <w:tc>
          <w:tcPr>
            <w:tcW w:w="6804" w:type="dxa"/>
            <w:shd w:val="clear" w:color="auto" w:fill="auto"/>
            <w:vAlign w:val="center"/>
          </w:tcPr>
          <w:p w14:paraId="59F056C3" w14:textId="77777777" w:rsidR="00751A4A" w:rsidRPr="0081236D" w:rsidRDefault="007702CD" w:rsidP="0010095E">
            <w:pPr>
              <w:pStyle w:val="EPName"/>
            </w:pPr>
            <w:r w:rsidRPr="0081236D">
              <w:t>Parlamentul European</w:t>
            </w:r>
          </w:p>
          <w:p w14:paraId="743D5625" w14:textId="77777777" w:rsidR="00751A4A" w:rsidRPr="0081236D" w:rsidRDefault="005F1B17" w:rsidP="005F1B17">
            <w:pPr>
              <w:pStyle w:val="EPTerm"/>
              <w:rPr>
                <w:rStyle w:val="HideTWBExt"/>
                <w:noProof w:val="0"/>
                <w:vanish w:val="0"/>
                <w:color w:val="auto"/>
              </w:rPr>
            </w:pPr>
            <w:r w:rsidRPr="0081236D">
              <w:t>2024</w:t>
            </w:r>
            <w:r w:rsidR="00817416" w:rsidRPr="0081236D">
              <w:t>-202</w:t>
            </w:r>
            <w:r w:rsidRPr="0081236D">
              <w:t>9</w:t>
            </w:r>
          </w:p>
        </w:tc>
        <w:tc>
          <w:tcPr>
            <w:tcW w:w="2268" w:type="dxa"/>
            <w:shd w:val="clear" w:color="auto" w:fill="auto"/>
          </w:tcPr>
          <w:p w14:paraId="701ECB70" w14:textId="77777777" w:rsidR="00751A4A" w:rsidRPr="0081236D" w:rsidRDefault="00187494" w:rsidP="0010095E">
            <w:pPr>
              <w:pStyle w:val="EPLogo"/>
            </w:pPr>
            <w:r w:rsidRPr="0081236D">
              <w:rPr>
                <w:noProof/>
                <w:lang w:eastAsia="ja-JP"/>
              </w:rPr>
              <w:drawing>
                <wp:inline distT="0" distB="0" distL="0" distR="0" wp14:anchorId="220BF690" wp14:editId="3FFEAE1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A977DC0" w14:textId="77777777" w:rsidR="00D058B8" w:rsidRPr="0081236D" w:rsidRDefault="00D058B8" w:rsidP="004C5D52">
      <w:pPr>
        <w:pStyle w:val="LineTop"/>
      </w:pPr>
    </w:p>
    <w:p w14:paraId="40BFE273" w14:textId="77777777" w:rsidR="00680577" w:rsidRPr="0081236D" w:rsidRDefault="007702CD" w:rsidP="00680577">
      <w:pPr>
        <w:pStyle w:val="EPBodyTA1"/>
      </w:pPr>
      <w:r w:rsidRPr="0081236D">
        <w:t>TEXTE ADOPTATE</w:t>
      </w:r>
    </w:p>
    <w:p w14:paraId="1C5F3C5B" w14:textId="77777777" w:rsidR="00D058B8" w:rsidRPr="0081236D" w:rsidRDefault="00D058B8" w:rsidP="00D058B8">
      <w:pPr>
        <w:pStyle w:val="LineBottom"/>
      </w:pPr>
    </w:p>
    <w:p w14:paraId="0C9B3C17" w14:textId="54133FA1" w:rsidR="007702CD" w:rsidRPr="0081236D" w:rsidRDefault="007702CD" w:rsidP="007702CD">
      <w:pPr>
        <w:pStyle w:val="ATHeading1"/>
      </w:pPr>
      <w:bookmarkStart w:id="0" w:name="TANumber"/>
      <w:r w:rsidRPr="0081236D">
        <w:t>P10_TA(2026)</w:t>
      </w:r>
      <w:bookmarkEnd w:id="0"/>
      <w:r w:rsidR="0081236D" w:rsidRPr="0081236D">
        <w:t>0102</w:t>
      </w:r>
    </w:p>
    <w:p w14:paraId="3A5CE758" w14:textId="017CD34B" w:rsidR="007702CD" w:rsidRPr="0081236D" w:rsidRDefault="007702CD" w:rsidP="007702CD">
      <w:pPr>
        <w:pStyle w:val="ATHeading2"/>
      </w:pPr>
      <w:bookmarkStart w:id="1" w:name="title"/>
      <w:r w:rsidRPr="0081236D">
        <w:t xml:space="preserve">Mobilizarea Fondului european de ajustare la globalizare pentru lucrătorii disponibilizați: cererea </w:t>
      </w:r>
      <w:r w:rsidR="00EE464A" w:rsidRPr="0081236D">
        <w:t>EGF</w:t>
      </w:r>
      <w:r w:rsidRPr="0081236D">
        <w:t>/2025/007 BE/Casa - Belgia</w:t>
      </w:r>
      <w:bookmarkEnd w:id="1"/>
    </w:p>
    <w:p w14:paraId="1923DC29" w14:textId="0AA7F4E8" w:rsidR="007702CD" w:rsidRPr="0081236D" w:rsidRDefault="007702CD" w:rsidP="007702CD">
      <w:pPr>
        <w:rPr>
          <w:i/>
          <w:vanish/>
        </w:rPr>
      </w:pPr>
      <w:r w:rsidRPr="0081236D">
        <w:rPr>
          <w:i/>
        </w:rPr>
        <w:fldChar w:fldCharType="begin"/>
      </w:r>
      <w:r w:rsidRPr="0081236D">
        <w:rPr>
          <w:i/>
        </w:rPr>
        <w:instrText xml:space="preserve"> TC"(</w:instrText>
      </w:r>
      <w:bookmarkStart w:id="2" w:name="DocNumber"/>
      <w:r w:rsidRPr="0081236D">
        <w:rPr>
          <w:i/>
        </w:rPr>
        <w:instrText>A10-0061/2026</w:instrText>
      </w:r>
      <w:bookmarkEnd w:id="2"/>
      <w:r w:rsidRPr="0081236D">
        <w:rPr>
          <w:i/>
        </w:rPr>
        <w:instrText xml:space="preserve"> - Raportor: Hélder Sousa Silva)"\l3 \n&gt; \* MERGEFORMAT </w:instrText>
      </w:r>
      <w:r w:rsidRPr="0081236D">
        <w:rPr>
          <w:i/>
        </w:rPr>
        <w:fldChar w:fldCharType="end"/>
      </w:r>
    </w:p>
    <w:p w14:paraId="0FC1C56C" w14:textId="77777777" w:rsidR="007702CD" w:rsidRPr="0081236D" w:rsidRDefault="007702CD" w:rsidP="007702CD">
      <w:pPr>
        <w:rPr>
          <w:vanish/>
        </w:rPr>
      </w:pPr>
      <w:bookmarkStart w:id="3" w:name="Commission"/>
      <w:r w:rsidRPr="0081236D">
        <w:rPr>
          <w:vanish/>
        </w:rPr>
        <w:t>Comisia pentru bugete</w:t>
      </w:r>
      <w:bookmarkEnd w:id="3"/>
    </w:p>
    <w:p w14:paraId="17BF8060" w14:textId="77777777" w:rsidR="007702CD" w:rsidRPr="0081236D" w:rsidRDefault="007702CD" w:rsidP="007702CD">
      <w:pPr>
        <w:rPr>
          <w:vanish/>
        </w:rPr>
      </w:pPr>
      <w:bookmarkStart w:id="4" w:name="PE"/>
      <w:r w:rsidRPr="0081236D">
        <w:rPr>
          <w:vanish/>
        </w:rPr>
        <w:t>PE784.477</w:t>
      </w:r>
      <w:bookmarkEnd w:id="4"/>
    </w:p>
    <w:p w14:paraId="28ACA8EF" w14:textId="6D469496" w:rsidR="007702CD" w:rsidRPr="0081236D" w:rsidRDefault="007702CD" w:rsidP="007702CD">
      <w:pPr>
        <w:pStyle w:val="ATHeading3"/>
      </w:pPr>
      <w:bookmarkStart w:id="5" w:name="Sujet"/>
      <w:r w:rsidRPr="0081236D">
        <w:t xml:space="preserve">Rezoluția Parlamentului European din 26 martie 2026 referitoare la propunerea de decizie a Parlamentului European și a Consiliului privind mobilizarea Fondului european de ajustare la globalizare pentru lucrătorii disponibilizați în urma unei cereri din partea Belgiei – </w:t>
      </w:r>
      <w:r w:rsidR="00EE464A" w:rsidRPr="0081236D">
        <w:t>EGF</w:t>
      </w:r>
      <w:r w:rsidRPr="0081236D">
        <w:t>/2025/007 BE/Casa</w:t>
      </w:r>
      <w:bookmarkEnd w:id="5"/>
      <w:r w:rsidRPr="0081236D">
        <w:t xml:space="preserve"> </w:t>
      </w:r>
      <w:bookmarkStart w:id="6" w:name="References"/>
      <w:r w:rsidRPr="0081236D">
        <w:t>(COM(2026)0003 – C10-0025/2026 – 2026/0038(BUD))</w:t>
      </w:r>
      <w:bookmarkEnd w:id="6"/>
    </w:p>
    <w:p w14:paraId="6A597997" w14:textId="77777777" w:rsidR="006E2FBD" w:rsidRPr="0081236D" w:rsidRDefault="006E2FBD" w:rsidP="006E2FBD">
      <w:pPr>
        <w:pStyle w:val="EPComma"/>
        <w:rPr>
          <w:noProof/>
        </w:rPr>
      </w:pPr>
      <w:r w:rsidRPr="0081236D">
        <w:rPr>
          <w:i/>
          <w:iCs/>
        </w:rPr>
        <w:t>Parlamentul European</w:t>
      </w:r>
      <w:r w:rsidRPr="0081236D">
        <w:t>,</w:t>
      </w:r>
    </w:p>
    <w:p w14:paraId="059A7D09" w14:textId="77777777" w:rsidR="006E2FBD" w:rsidRPr="0081236D" w:rsidRDefault="006E2FBD" w:rsidP="006E2FBD">
      <w:pPr>
        <w:pStyle w:val="NormalHanging12a"/>
        <w:rPr>
          <w:noProof/>
        </w:rPr>
      </w:pPr>
      <w:r w:rsidRPr="0081236D">
        <w:t>–</w:t>
      </w:r>
      <w:r w:rsidRPr="0081236D">
        <w:tab/>
        <w:t>având în vedere propunerea Comisiei prezentată Parlamentului European și Consiliului (COM(2026)0003 – C10-0025/2026),</w:t>
      </w:r>
    </w:p>
    <w:p w14:paraId="12BB7A52" w14:textId="77777777" w:rsidR="006E2FBD" w:rsidRPr="0081236D" w:rsidRDefault="006E2FBD" w:rsidP="006E2FBD">
      <w:pPr>
        <w:pStyle w:val="NormalHanging12a"/>
      </w:pPr>
      <w:r w:rsidRPr="0081236D">
        <w:t>–</w:t>
      </w:r>
      <w:r w:rsidRPr="0081236D">
        <w:tab/>
        <w:t>având în vedere Regulamentul (UE) 2021/691 al Parlamentului European și al Consiliului din 28 aprilie 2021 privind Fondul european de ajustare la globalizare pentru lucrătorii disponibilizați (FEG) și de abrogare a Regulamentului (UE) nr. 1309/2013</w:t>
      </w:r>
      <w:r w:rsidRPr="0081236D">
        <w:rPr>
          <w:vertAlign w:val="superscript"/>
        </w:rPr>
        <w:footnoteReference w:id="1"/>
      </w:r>
      <w:r w:rsidRPr="0081236D">
        <w:t xml:space="preserve"> (denumit în continuare „Regulamentul privind FEG”), </w:t>
      </w:r>
    </w:p>
    <w:p w14:paraId="3D504A2C" w14:textId="77777777" w:rsidR="006E2FBD" w:rsidRPr="0081236D" w:rsidRDefault="006E2FBD" w:rsidP="006E2FBD">
      <w:pPr>
        <w:pStyle w:val="NormalHanging12a"/>
        <w:rPr>
          <w:noProof/>
        </w:rPr>
      </w:pPr>
      <w:r w:rsidRPr="0081236D">
        <w:t>–</w:t>
      </w:r>
      <w:r w:rsidRPr="0081236D">
        <w:tab/>
        <w:t>având în vedere Regulamentul (UE, Euratom) 2020/2093 al Consiliului din 17 decembrie 2020 de stabilire a cadrului financiar multianual pentru perioada 2021-2027 (denumit în continuare „Regulamentul privind CFM”)</w:t>
      </w:r>
      <w:r w:rsidRPr="0081236D">
        <w:rPr>
          <w:noProof/>
          <w:vertAlign w:val="superscript"/>
        </w:rPr>
        <w:footnoteReference w:id="2"/>
      </w:r>
      <w:r w:rsidRPr="0081236D">
        <w:t>, astfel cum a fost modificat prin Regulamentul (UE, Euratom) 2024/765</w:t>
      </w:r>
      <w:r w:rsidRPr="0081236D">
        <w:rPr>
          <w:noProof/>
          <w:vertAlign w:val="superscript"/>
        </w:rPr>
        <w:footnoteReference w:id="3"/>
      </w:r>
      <w:r w:rsidRPr="0081236D">
        <w:t xml:space="preserve">, în special articolul 8, </w:t>
      </w:r>
    </w:p>
    <w:p w14:paraId="4C3A3E2B" w14:textId="77777777" w:rsidR="006E2FBD" w:rsidRPr="0081236D" w:rsidRDefault="006E2FBD" w:rsidP="006E2FBD">
      <w:pPr>
        <w:pStyle w:val="NormalHanging12a"/>
        <w:rPr>
          <w:noProof/>
        </w:rPr>
      </w:pPr>
      <w:r w:rsidRPr="0081236D">
        <w:t>–</w:t>
      </w:r>
      <w:r w:rsidRPr="0081236D">
        <w:tab/>
        <w:t xml:space="preserve">având în vedere Acordul interinstituțional din 16 decembrie 2020 dintre Parlamentul European, Consiliul Uniunii Europene și Comisia Europeană privind disciplina bugetară, cooperarea în chestiuni bugetare și buna gestiune financiară, precum și privind noile resurse proprii, inclusiv o foaie de parcurs în vederea introducerii de noi resurse </w:t>
      </w:r>
      <w:r w:rsidRPr="0081236D">
        <w:lastRenderedPageBreak/>
        <w:t>proprii</w:t>
      </w:r>
      <w:r w:rsidRPr="0081236D">
        <w:rPr>
          <w:rStyle w:val="FootnoteReference"/>
          <w:noProof/>
        </w:rPr>
        <w:footnoteReference w:id="4"/>
      </w:r>
      <w:r w:rsidRPr="0081236D">
        <w:t>, în special punctul 9,</w:t>
      </w:r>
    </w:p>
    <w:p w14:paraId="716FDCB2" w14:textId="77777777" w:rsidR="006E2FBD" w:rsidRPr="0081236D" w:rsidRDefault="006E2FBD" w:rsidP="006E2FBD">
      <w:pPr>
        <w:pStyle w:val="NormalHanging12a"/>
      </w:pPr>
      <w:r w:rsidRPr="0081236D">
        <w:t>–</w:t>
      </w:r>
      <w:r w:rsidRPr="0081236D">
        <w:tab/>
        <w:t>având în vedere Pilonul european al drepturilor sociale,</w:t>
      </w:r>
    </w:p>
    <w:p w14:paraId="6B729A23" w14:textId="77777777" w:rsidR="006E2FBD" w:rsidRPr="0081236D" w:rsidRDefault="006E2FBD" w:rsidP="006E2FBD">
      <w:pPr>
        <w:pStyle w:val="NormalHanging12a"/>
      </w:pPr>
      <w:r w:rsidRPr="0081236D">
        <w:t>–</w:t>
      </w:r>
      <w:r w:rsidRPr="0081236D">
        <w:tab/>
        <w:t>având în vedere scrisoarea Comisiei pentru ocuparea forței de muncă și afaceri sociale,</w:t>
      </w:r>
    </w:p>
    <w:p w14:paraId="26902C20" w14:textId="77777777" w:rsidR="006E2FBD" w:rsidRPr="0081236D" w:rsidRDefault="006E2FBD" w:rsidP="006E2FBD">
      <w:pPr>
        <w:pStyle w:val="NormalHanging12a"/>
      </w:pPr>
      <w:r w:rsidRPr="0081236D">
        <w:t>–</w:t>
      </w:r>
      <w:r w:rsidRPr="0081236D">
        <w:tab/>
        <w:t>având în vedere raportul Comisiei pentru bugete (A10-0061/2026),</w:t>
      </w:r>
    </w:p>
    <w:p w14:paraId="03F98166" w14:textId="77777777" w:rsidR="006E2FBD" w:rsidRPr="0081236D" w:rsidRDefault="006E2FBD" w:rsidP="006E2FBD">
      <w:pPr>
        <w:pStyle w:val="NormalHanging12a"/>
        <w:rPr>
          <w:noProof/>
        </w:rPr>
      </w:pPr>
      <w:r w:rsidRPr="0081236D">
        <w:t>A.</w:t>
      </w:r>
      <w:r w:rsidRPr="0081236D">
        <w:tab/>
        <w:t>întrucât Uniunea a instituit instrumente legislative și bugetare pentru a oferi un sprijin suplimentar lucrătorilor afectați de consecințele unor evenimente și schimbări majore intervenite în structura comerțului internațional și pentru a le acorda asistență în procesul de reintegrare pe piața muncii; întrucât acest ajutor se acordă sub forma unui sprijin financiar acordat lucrătorilor;</w:t>
      </w:r>
    </w:p>
    <w:p w14:paraId="15E5DB42" w14:textId="1135E0AE" w:rsidR="006E2FBD" w:rsidRPr="0081236D" w:rsidRDefault="006E2FBD" w:rsidP="006E2FBD">
      <w:pPr>
        <w:pStyle w:val="NormalHanging12a"/>
      </w:pPr>
      <w:r w:rsidRPr="0081236D">
        <w:t>B.</w:t>
      </w:r>
      <w:r w:rsidRPr="0081236D">
        <w:tab/>
        <w:t xml:space="preserve">întrucât Belgia a depus cererea </w:t>
      </w:r>
      <w:r w:rsidR="00EE464A" w:rsidRPr="0081236D">
        <w:t>EGF</w:t>
      </w:r>
      <w:r w:rsidRPr="0081236D">
        <w:t>/2025/007 BE/Casa pentru o contribuție financiară din partea FEG ca urmare a disponibilizării a 416 persoane</w:t>
      </w:r>
      <w:r w:rsidRPr="0081236D">
        <w:rPr>
          <w:vertAlign w:val="superscript"/>
        </w:rPr>
        <w:footnoteReference w:id="5"/>
      </w:r>
      <w:r w:rsidRPr="0081236D">
        <w:t xml:space="preserve"> de la Casa International NV (Casa) din Belgia, în sectoarele economice încadrate la diviziunea 47 din NACE Rev. 2 (Comerț cu amănuntul, cu excepția autovehiculelor și motocicletelor) și la diviziunea </w:t>
      </w:r>
      <w:r w:rsidR="008A2ED7" w:rsidRPr="0081236D">
        <w:t xml:space="preserve">52 </w:t>
      </w:r>
      <w:r w:rsidRPr="0081236D">
        <w:t xml:space="preserve">(Depozitare și activități auxiliare de transport) din NACE Rev. 2, în regiunea Provincia Anvers (BE21) din </w:t>
      </w:r>
      <w:proofErr w:type="spellStart"/>
      <w:r w:rsidRPr="0081236D">
        <w:t>Flandra</w:t>
      </w:r>
      <w:proofErr w:type="spellEnd"/>
      <w:r w:rsidRPr="0081236D">
        <w:t xml:space="preserve">, în perioada de referință 6 martie 2025-6 iulie 2025; </w:t>
      </w:r>
    </w:p>
    <w:p w14:paraId="2E19251B" w14:textId="5AF93EAA" w:rsidR="006E2FBD" w:rsidRPr="0081236D" w:rsidRDefault="006E2FBD" w:rsidP="006E2FBD">
      <w:pPr>
        <w:pStyle w:val="NormalHanging12a"/>
      </w:pPr>
      <w:r w:rsidRPr="0081236D">
        <w:t>C.</w:t>
      </w:r>
      <w:r w:rsidRPr="0081236D">
        <w:tab/>
        <w:t xml:space="preserve">întrucât cererea se întemeiază pe criteriile de intervenție de la articolul 4 alineatul (2) litera (a) din Regulamentul privind FEG; întrucât 257 disponibilizări se referă la Casa International NV (comerț cu amănuntul), cu 65 de puncte de vânzare cu amănuntul pe întreg teritoriul Belgiei, iar 159 disponibilizări se referă la Casa </w:t>
      </w:r>
      <w:proofErr w:type="spellStart"/>
      <w:r w:rsidRPr="0081236D">
        <w:t>Logistics</w:t>
      </w:r>
      <w:proofErr w:type="spellEnd"/>
      <w:r w:rsidRPr="0081236D">
        <w:t xml:space="preserve"> NV (</w:t>
      </w:r>
      <w:r w:rsidR="008A2ED7" w:rsidRPr="0081236D">
        <w:t>de</w:t>
      </w:r>
      <w:r w:rsidRPr="0081236D">
        <w:t xml:space="preserve">pozitare), responsabilă cu depozitarea și distribuția către aceste puncte de vânzare; </w:t>
      </w:r>
    </w:p>
    <w:p w14:paraId="15B14425" w14:textId="5A583A12" w:rsidR="006E2FBD" w:rsidRPr="0081236D" w:rsidRDefault="006E2FBD" w:rsidP="006E2FBD">
      <w:pPr>
        <w:pStyle w:val="NormalHanging12a"/>
        <w:rPr>
          <w:noProof/>
        </w:rPr>
      </w:pPr>
      <w:r w:rsidRPr="0081236D">
        <w:t>D.</w:t>
      </w:r>
      <w:r w:rsidRPr="0081236D">
        <w:tab/>
        <w:t>întrucât Casa a declarat falimentul la 6 martie 2025; întrucât în Belgia falimentele sunt în creștere din 2022, în special în sectorul comerțului cu amănuntul, care trece printr-o transformare structurală profundă determinată de dezvoltarea comerțului electronic și de schimbarea obiceiurilor consumatorilor; întrucât femeile reprezintă 67,5 % din forța de muncă implicată în acest caz; subliniază, prin urmare, că măsurile de sprijin din cadrul FEG ar trebui să țină seama de nevoile specifice și de barierele cu care se confruntă femeile respective în ceea ce privește reintegrarea pe piața muncii;</w:t>
      </w:r>
    </w:p>
    <w:p w14:paraId="4C8FEFEB" w14:textId="77777777" w:rsidR="006E2FBD" w:rsidRPr="0081236D" w:rsidRDefault="006E2FBD" w:rsidP="006E2FBD">
      <w:pPr>
        <w:pStyle w:val="NormalHanging12a"/>
      </w:pPr>
      <w:r w:rsidRPr="0081236D">
        <w:t>E.</w:t>
      </w:r>
      <w:r w:rsidRPr="0081236D">
        <w:tab/>
        <w:t xml:space="preserve">întrucât VDAB asigură </w:t>
      </w:r>
      <w:proofErr w:type="spellStart"/>
      <w:r w:rsidRPr="0081236D">
        <w:t>prefinanțarea</w:t>
      </w:r>
      <w:proofErr w:type="spellEnd"/>
      <w:r w:rsidRPr="0081236D">
        <w:t xml:space="preserve"> și cofinanțarea națională a măsurilor;</w:t>
      </w:r>
    </w:p>
    <w:p w14:paraId="48F3F837" w14:textId="77777777" w:rsidR="006E2FBD" w:rsidRPr="0081236D" w:rsidRDefault="006E2FBD" w:rsidP="006E2FBD">
      <w:pPr>
        <w:pStyle w:val="NormalHanging12a"/>
      </w:pPr>
      <w:r w:rsidRPr="0081236D">
        <w:t>F.</w:t>
      </w:r>
      <w:r w:rsidRPr="0081236D">
        <w:tab/>
        <w:t>întrucât cerințele prevăzute de legislația națională și de legislația Uniunii în ceea ce privește concedierile colective au fost îndeplinite de întreprinderile în cauză;</w:t>
      </w:r>
    </w:p>
    <w:p w14:paraId="52863AC2" w14:textId="77777777" w:rsidR="006E2FBD" w:rsidRPr="0081236D" w:rsidRDefault="006E2FBD" w:rsidP="006E2FBD">
      <w:pPr>
        <w:pStyle w:val="NormalHanging12a"/>
      </w:pPr>
      <w:r w:rsidRPr="0081236D">
        <w:t>G.</w:t>
      </w:r>
      <w:r w:rsidRPr="0081236D">
        <w:tab/>
        <w:t>întrucât contribuțiile financiare din FEG ar trebui să fie direcționate în primul rând spre măsuri de politică active pe piața muncii și spre servicii personalizate menite să-i reintegreze rapid pe beneficiari pe piața muncii, oferindu‑le totodată formare pentru dobândirea de competențe, pentru a le înlesni accesul pe piața muncii;</w:t>
      </w:r>
    </w:p>
    <w:p w14:paraId="02890A15" w14:textId="77777777" w:rsidR="006E2FBD" w:rsidRPr="0081236D" w:rsidRDefault="006E2FBD" w:rsidP="006E2FBD">
      <w:pPr>
        <w:pStyle w:val="NormalHanging12a"/>
      </w:pPr>
      <w:r w:rsidRPr="0081236D">
        <w:t>H.</w:t>
      </w:r>
      <w:r w:rsidRPr="0081236D">
        <w:tab/>
        <w:t xml:space="preserve">întrucât FEG nu trebuie să depășească un cuantum anual de maximum 30 de milioane </w:t>
      </w:r>
      <w:r w:rsidRPr="0081236D">
        <w:lastRenderedPageBreak/>
        <w:t>EUR (la prețurile din 2018)</w:t>
      </w:r>
      <w:r w:rsidRPr="0081236D">
        <w:rPr>
          <w:rStyle w:val="FootnoteReference"/>
        </w:rPr>
        <w:footnoteReference w:id="6"/>
      </w:r>
      <w:r w:rsidRPr="0081236D">
        <w:t xml:space="preserve">, </w:t>
      </w:r>
    </w:p>
    <w:p w14:paraId="5E5486CB" w14:textId="77777777" w:rsidR="006E2FBD" w:rsidRPr="0081236D" w:rsidRDefault="006E2FBD" w:rsidP="006E2FBD">
      <w:pPr>
        <w:pStyle w:val="NormalHanging12a"/>
      </w:pPr>
      <w:r w:rsidRPr="0081236D">
        <w:t>1.</w:t>
      </w:r>
      <w:r w:rsidRPr="0081236D">
        <w:tab/>
        <w:t>este de acord cu Comisia că sunt îndeplinite condițiile prevăzute în Regulamentul privind FEG, în special cele de la articolul 4 alineatul (2) litera (a) din acesta, și că Belgia are dreptul la o contribuție financiară în cuantum de 1 916 733 EUR în temeiul regulamentului respectiv, ceea ce reprezintă 85 % din costul total de 2 254 980 EUR, compus din cheltuieli pentru servicii personalizate în cuantum de 2 168 980 EUR și cheltuieli pentru activități de pregătire, gestionare, informare și publicitate, control și informare în cuantum de 86 000 EUR;</w:t>
      </w:r>
    </w:p>
    <w:p w14:paraId="6BC3F84E" w14:textId="77777777" w:rsidR="006E2FBD" w:rsidRPr="0081236D" w:rsidRDefault="006E2FBD" w:rsidP="006E2FBD">
      <w:pPr>
        <w:pStyle w:val="NormalHanging12a"/>
      </w:pPr>
      <w:r w:rsidRPr="0081236D">
        <w:t>2.</w:t>
      </w:r>
      <w:r w:rsidRPr="0081236D">
        <w:tab/>
        <w:t>observă că autoritățile belgiene au depus cererea la 23 septembrie 2025 și că, după primirea de informații suplimentare din partea Belgiei, Comisia și-a finalizat evaluarea la 6 februarie 2026, aducând la cunoștința Parlamentului această evaluare la data de 11 februarie 2026; accentuează că este important să se scurteze intervalul de timp dintre depunerea unei cereri de asistență din partea FEG și decizia de finanțare, garantând totodată pe deplin drepturile Parlamentului European în calitate de componentă a autorității bugetare;</w:t>
      </w:r>
    </w:p>
    <w:p w14:paraId="5819C205" w14:textId="77777777" w:rsidR="006E2FBD" w:rsidRPr="0081236D" w:rsidRDefault="006E2FBD" w:rsidP="006E2FBD">
      <w:pPr>
        <w:pStyle w:val="NormalHanging12a"/>
      </w:pPr>
      <w:r w:rsidRPr="0081236D">
        <w:t>3.</w:t>
      </w:r>
      <w:r w:rsidRPr="0081236D">
        <w:tab/>
        <w:t>constată că cererea se referă la lucrătorii a căror activitate a încetat la două întreprinderi ale Casa și că toți acești lucrători vor fi beneficiari vizați;</w:t>
      </w:r>
    </w:p>
    <w:p w14:paraId="6F35130E" w14:textId="77777777" w:rsidR="006E2FBD" w:rsidRPr="0081236D" w:rsidRDefault="006E2FBD" w:rsidP="006E2FBD">
      <w:pPr>
        <w:pStyle w:val="NormalHanging12a"/>
      </w:pPr>
      <w:r w:rsidRPr="0081236D">
        <w:t>4.</w:t>
      </w:r>
      <w:r w:rsidRPr="0081236D">
        <w:tab/>
        <w:t>constată că Casa s-a confruntat cu dificultăți financiare timp de mai mulți ani înainte de declararea falimentului, ca urmare a prevalenței tot mai mari a comerțului electronic, a intensificării concurenței internaționale și a condițiilor concurențiale neloiale, ceea ce a dus, în cele din urmă, la deficite grave de lichidități și la incapacitatea de a identifica potențiali cumpărători pentru întreprindere; subliniază necesitatea de a consolida capacitatea conducerii întreprinderilor de a preveni concedierile prin adaptarea la contextul geopolitic actual și de a face față în mod proactiv evenimentelor majore de restructurare;</w:t>
      </w:r>
    </w:p>
    <w:p w14:paraId="6228E6BC" w14:textId="77777777" w:rsidR="006E2FBD" w:rsidRPr="0081236D" w:rsidRDefault="006E2FBD" w:rsidP="006E2FBD">
      <w:pPr>
        <w:pStyle w:val="NormalHanging12a"/>
        <w:rPr>
          <w:noProof/>
        </w:rPr>
      </w:pPr>
      <w:r w:rsidRPr="0081236D">
        <w:t>5.</w:t>
      </w:r>
      <w:r w:rsidRPr="0081236D">
        <w:tab/>
        <w:t>constată că, deși asistenții de vânzări disponibilizați au cele mai favorabile perspective de angajare, lucrătorii din depozite se confruntă cu dificultăți mai mari în a obține noi posturi și au nevoie de sprijin suplimentar prin perfecționare, recalificare, relocare sau redistribuire; invită autoritățile belgiene să ofere sprijin specific adaptat pentru a-i ajuta pe lucrători să își depășească deficiențele și să găsească noi locuri de muncă în concordanță cu nevoile pieței muncii; subliniază că reintegrarea lucrătorilor concediați este esențială pentru o economie europeană adaptată exigențelor viitorului, cu o bază industrială puternică;</w:t>
      </w:r>
    </w:p>
    <w:p w14:paraId="5628B4CE" w14:textId="77777777" w:rsidR="006E2FBD" w:rsidRPr="0081236D" w:rsidRDefault="006E2FBD" w:rsidP="006E2FBD">
      <w:pPr>
        <w:pStyle w:val="NormalHanging12a"/>
      </w:pPr>
      <w:r w:rsidRPr="0081236D">
        <w:t>6.</w:t>
      </w:r>
      <w:r w:rsidRPr="0081236D">
        <w:tab/>
        <w:t xml:space="preserve">regretă că creșterea numărului de falimente din ultimii doi ani a avut un impact negativ asupra ratei ocupării forței de muncă în unele regiuni din Belgia, în special în Bruxelles și </w:t>
      </w:r>
      <w:proofErr w:type="spellStart"/>
      <w:r w:rsidRPr="0081236D">
        <w:t>Olen</w:t>
      </w:r>
      <w:proofErr w:type="spellEnd"/>
      <w:r w:rsidRPr="0081236D">
        <w:t xml:space="preserve"> (provincia Anvers); constată că aproximativ 45 000 de locuri de muncă au fost pierdute în Belgia în termen de 18 luni din cauza falimentelor, majoritatea având loc în </w:t>
      </w:r>
      <w:proofErr w:type="spellStart"/>
      <w:r w:rsidRPr="0081236D">
        <w:t>Flandra</w:t>
      </w:r>
      <w:proofErr w:type="spellEnd"/>
      <w:r w:rsidRPr="0081236D">
        <w:t xml:space="preserve">; subliniază că, în </w:t>
      </w:r>
      <w:proofErr w:type="spellStart"/>
      <w:r w:rsidRPr="0081236D">
        <w:t>Flandra</w:t>
      </w:r>
      <w:proofErr w:type="spellEnd"/>
      <w:r w:rsidRPr="0081236D">
        <w:t>, riscul de șomaj este de peste două ori mai mare pentru persoanele cu un nivel scăzut de educație; subliniază importanța unui mediu favorabil întreprinderilor, care să le permită acestora să rămână competitive, să creeze locuri de muncă și să contribuie la o creștere economică sustenabilă;</w:t>
      </w:r>
    </w:p>
    <w:p w14:paraId="72AD1BFF" w14:textId="77777777" w:rsidR="006E2FBD" w:rsidRPr="0081236D" w:rsidRDefault="006E2FBD" w:rsidP="006E2FBD">
      <w:pPr>
        <w:pStyle w:val="NormalHanging12a"/>
      </w:pPr>
      <w:r w:rsidRPr="0081236D">
        <w:t>7.</w:t>
      </w:r>
      <w:r w:rsidRPr="0081236D">
        <w:tab/>
        <w:t xml:space="preserve">reamintește că serviciile personalizate care urmează să fie furnizate lucrătorilor, stabilite </w:t>
      </w:r>
      <w:r w:rsidRPr="0081236D">
        <w:lastRenderedPageBreak/>
        <w:t xml:space="preserve">de comun acord cu experții și partenerii sociali, constau în următoarele măsuri: sesiuni de informare pentru orientare privind reintegrarea profesională; servicii de plasare a personalului disponibilizat pentru a îndruma lucrătorii în căutarea unui loc de muncă; mediere activă axată pe profilul fiecărei persoane aflate în căutarea unui loc de muncă; programe personalizate pentru dezvoltarea competențelor, inclusiv a competențelor informatice; formare și recalificare: formare individuală la locul de muncă: participarea la târgul de locuri de muncă; subliniază că este important să se promoveze locuri de muncă de înaltă calitate, orientate spre viitor, care să întărească competitivitatea și să sprijine transformarea digitală, asigurându-se, în același timp, că FEG este pus în aplicare în mod corespunzător și contribuie la reziliența economică și socială pe termen lung a Uniunii; subliniază că partenerii sociali ar trebui să fie implicați pe parcursul întregii puneri în aplicare a măsurilor FEG, inclusiv în etapa de monitorizare, pentru a asigura calitatea și relevanța sprijinului oferit beneficiarilor; </w:t>
      </w:r>
    </w:p>
    <w:p w14:paraId="76180BAE" w14:textId="77777777" w:rsidR="006E2FBD" w:rsidRPr="0081236D" w:rsidRDefault="006E2FBD" w:rsidP="006E2FBD">
      <w:pPr>
        <w:pStyle w:val="NormalHanging12a"/>
      </w:pPr>
      <w:r w:rsidRPr="0081236D">
        <w:t>8.</w:t>
      </w:r>
      <w:r w:rsidRPr="0081236D">
        <w:tab/>
        <w:t xml:space="preserve">reamintește că FEG este un instrument pentru solidaritate și tranziție justă și, deși oferă sprijin în urma pierderii locurilor de muncă, nu poate înlocui o politică industrială </w:t>
      </w:r>
      <w:proofErr w:type="spellStart"/>
      <w:r w:rsidRPr="0081236D">
        <w:t>proactivă</w:t>
      </w:r>
      <w:proofErr w:type="spellEnd"/>
      <w:r w:rsidRPr="0081236D">
        <w:t>; consideră că mobilizarea FEG trebuie integrată într-un răspuns mai amplu în materie de politici, la toate nivelurile politice, pentru a garanta că lucrătorii afectați au acces la oportunități adecvate, în conformitate cu calificările și competențele lor; accentuează că principala sarcină a Uniunii trebuie să fie prevenirea unor astfel de închideri de la bun început, prin crearea condițiilor necesare pentru ca producția industrială să rămână competitivă, investind totodată în dezvoltarea competențelor, atât ale lucrătorilor înalt calificați, cât și ale celor din sectorul industrial; subliniază că este nevoie să se ofere sprijin specific adaptat profilurilor lucrătorilor cu niveluri scăzute de educație, luând, în același timp, măsuri pentru a reduce falimentele și a remedia disparitățile sociale care conduc la excluderea de pe piața muncii;</w:t>
      </w:r>
    </w:p>
    <w:p w14:paraId="138510C5" w14:textId="77777777" w:rsidR="006E2FBD" w:rsidRPr="0081236D" w:rsidRDefault="006E2FBD" w:rsidP="006E2FBD">
      <w:pPr>
        <w:pStyle w:val="NormalHanging12a"/>
        <w:rPr>
          <w:bCs/>
          <w:iCs/>
        </w:rPr>
      </w:pPr>
      <w:r w:rsidRPr="0081236D">
        <w:t>9.</w:t>
      </w:r>
      <w:r w:rsidRPr="0081236D">
        <w:tab/>
        <w:t>subliniază că autoritățile belgiene trebuie să asigure vizibilitatea finanțării din partea Uniunii și să evidențieze valoarea adăugată a acesteia, furnizând informații eficiente și specifice beneficiarilor, autorităților regionale și locale, partenerilor sociali și publicului larg;</w:t>
      </w:r>
    </w:p>
    <w:p w14:paraId="72E10119" w14:textId="77777777" w:rsidR="006E2FBD" w:rsidRPr="0081236D" w:rsidRDefault="006E2FBD" w:rsidP="006E2FBD">
      <w:pPr>
        <w:pStyle w:val="NormalHanging12a"/>
      </w:pPr>
      <w:r w:rsidRPr="0081236D">
        <w:t>10.</w:t>
      </w:r>
      <w:r w:rsidRPr="0081236D">
        <w:tab/>
        <w:t>solicită evaluări finale aprofundate ale măsurilor puse în aplicare, inclusiv informații clare cu privire la modul în care au fost utilizate fondurile, la succesul reintegrării lucrătorilor pe piața muncii și la măsura în care măsurile au atins obiectivele pentru care a fost creat FEG;</w:t>
      </w:r>
    </w:p>
    <w:p w14:paraId="3CF40A61" w14:textId="77777777" w:rsidR="006E2FBD" w:rsidRPr="0081236D" w:rsidRDefault="006E2FBD" w:rsidP="006E2FBD">
      <w:pPr>
        <w:pStyle w:val="NormalHanging12a"/>
      </w:pPr>
      <w:r w:rsidRPr="0081236D">
        <w:t>11.</w:t>
      </w:r>
      <w:r w:rsidRPr="0081236D">
        <w:tab/>
        <w:t>constată că Belgia a început să ofere servicii personalizate beneficiarilor vizați la 14 martie 2025 și că perioada de eligibilitate pentru o contribuție financiară din FEG va începe așadar la această dată și va dura 24 de luni de la data intrării în vigoare a deciziei de finanțare;</w:t>
      </w:r>
    </w:p>
    <w:p w14:paraId="793EED19" w14:textId="77777777" w:rsidR="006E2FBD" w:rsidRPr="0081236D" w:rsidRDefault="006E2FBD" w:rsidP="006E2FBD">
      <w:pPr>
        <w:pStyle w:val="NormalHanging12a"/>
        <w:rPr>
          <w:sz w:val="23"/>
          <w:szCs w:val="23"/>
        </w:rPr>
      </w:pPr>
      <w:r w:rsidRPr="0081236D">
        <w:t>12.</w:t>
      </w:r>
      <w:r w:rsidRPr="0081236D">
        <w:tab/>
        <w:t>observă că Belgia a început să suporte cheltuieli administrative pentru execuția FEG la 6 martie 2025 și că aceste cheltuieli vor fi, prin urmare, admisibile pentru o contribuție financiară din FEG de la această dată pentru o perioadă de 31 de luni de la data intrării în vigoare a deciziei de finanțare;</w:t>
      </w:r>
    </w:p>
    <w:p w14:paraId="7E1ACB51" w14:textId="77777777" w:rsidR="006E2FBD" w:rsidRPr="0081236D" w:rsidRDefault="006E2FBD" w:rsidP="006E2FBD">
      <w:pPr>
        <w:pStyle w:val="NormalHanging12a"/>
      </w:pPr>
      <w:r w:rsidRPr="0081236D">
        <w:t>13.</w:t>
      </w:r>
      <w:r w:rsidRPr="0081236D">
        <w:tab/>
        <w:t>observă că autoritățile belgiene au dat asigurări că, în ceea ce privește accesul la acțiunile propuse și punerea lor în aplicare, se vor respecta principiile egalității de tratament și nediscriminării și se va evita orice formă de dublă finanțare;</w:t>
      </w:r>
    </w:p>
    <w:p w14:paraId="64F6F0B6" w14:textId="77777777" w:rsidR="006E2FBD" w:rsidRPr="0081236D" w:rsidRDefault="006E2FBD" w:rsidP="006E2FBD">
      <w:pPr>
        <w:pStyle w:val="NormalHanging12a"/>
      </w:pPr>
      <w:r w:rsidRPr="0081236D">
        <w:lastRenderedPageBreak/>
        <w:t>14.</w:t>
      </w:r>
      <w:r w:rsidRPr="0081236D">
        <w:tab/>
        <w:t>reiterează că asistența din partea FEG nu trebuie să înlocuiască acțiunile care țin de responsabilitatea autorităților publice sau a întreprinderilor în temeiul legislației naționale sau al acordurilor colective; reamintește că FEG este un mecanism limitat, specific și complementar;</w:t>
      </w:r>
    </w:p>
    <w:p w14:paraId="707D73EB" w14:textId="77777777" w:rsidR="006E2FBD" w:rsidRPr="0081236D" w:rsidRDefault="006E2FBD" w:rsidP="006E2FBD">
      <w:pPr>
        <w:pStyle w:val="NormalHanging12a"/>
      </w:pPr>
      <w:r w:rsidRPr="0081236D">
        <w:t>15.</w:t>
      </w:r>
      <w:r w:rsidRPr="0081236D">
        <w:tab/>
        <w:t>aprobă decizia anexată la prezenta rezoluție;</w:t>
      </w:r>
    </w:p>
    <w:p w14:paraId="17D4FD9A" w14:textId="77777777" w:rsidR="006E2FBD" w:rsidRPr="0081236D" w:rsidRDefault="006E2FBD" w:rsidP="006E2FBD">
      <w:pPr>
        <w:pStyle w:val="NormalHanging12a"/>
      </w:pPr>
      <w:r w:rsidRPr="0081236D">
        <w:t>16.</w:t>
      </w:r>
      <w:r w:rsidRPr="0081236D">
        <w:tab/>
        <w:t xml:space="preserve">încredințează Președintei sarcina de a semna această decizie împreună cu Președintele Consiliului și de a asigura publicarea sa în </w:t>
      </w:r>
      <w:r w:rsidRPr="0081236D">
        <w:rPr>
          <w:i/>
          <w:iCs/>
        </w:rPr>
        <w:t>Jurnalul Oficial al Uniunii Europene</w:t>
      </w:r>
      <w:r w:rsidRPr="0081236D">
        <w:t>;</w:t>
      </w:r>
    </w:p>
    <w:p w14:paraId="6111C0E7" w14:textId="77777777" w:rsidR="006E2FBD" w:rsidRPr="0081236D" w:rsidRDefault="006E2FBD" w:rsidP="006E2FBD">
      <w:pPr>
        <w:pStyle w:val="NormalHanging12a"/>
      </w:pPr>
      <w:r w:rsidRPr="0081236D">
        <w:t>17.</w:t>
      </w:r>
      <w:r w:rsidRPr="0081236D">
        <w:tab/>
        <w:t>încredințează Președintei sarcina de a transmite prezenta rezoluție, împreună cu anexa, Consiliului și Comisiei.</w:t>
      </w:r>
    </w:p>
    <w:p w14:paraId="5BF2FA51" w14:textId="77777777" w:rsidR="006E2FBD" w:rsidRPr="0081236D" w:rsidRDefault="006E2FBD" w:rsidP="006E2FBD">
      <w:pPr>
        <w:rPr>
          <w:noProof/>
        </w:rPr>
      </w:pPr>
    </w:p>
    <w:p w14:paraId="1379EB8E" w14:textId="77777777" w:rsidR="006E2FBD" w:rsidRPr="0081236D" w:rsidRDefault="006E2FBD" w:rsidP="006E2FBD">
      <w:pPr>
        <w:pStyle w:val="PageHeading"/>
        <w:rPr>
          <w:noProof/>
        </w:rPr>
        <w:sectPr w:rsidR="006E2FBD" w:rsidRPr="0081236D" w:rsidSect="002579D6">
          <w:headerReference w:type="even" r:id="rId9"/>
          <w:headerReference w:type="default" r:id="rId10"/>
          <w:footerReference w:type="even"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458056E" w14:textId="77777777" w:rsidR="003670F0" w:rsidRDefault="006E2FBD" w:rsidP="006E2FBD">
      <w:pPr>
        <w:pStyle w:val="PageHeading"/>
      </w:pPr>
      <w:bookmarkStart w:id="7" w:name="_Toc221116748"/>
      <w:bookmarkStart w:id="8" w:name="_Toc224804782"/>
      <w:r w:rsidRPr="0081236D">
        <w:lastRenderedPageBreak/>
        <w:t>ANEXĂ</w:t>
      </w:r>
      <w:bookmarkStart w:id="9" w:name="_Hlk219192825"/>
    </w:p>
    <w:p w14:paraId="474E5497" w14:textId="2B93134C" w:rsidR="006E2FBD" w:rsidRPr="0081236D" w:rsidRDefault="006E2FBD" w:rsidP="006E2FBD">
      <w:pPr>
        <w:pStyle w:val="PageHeading"/>
      </w:pPr>
      <w:r w:rsidRPr="0081236D">
        <w:t xml:space="preserve"> </w:t>
      </w:r>
      <w:r w:rsidR="00DA3117" w:rsidRPr="0081236D">
        <w:t xml:space="preserve">DECIZIE </w:t>
      </w:r>
      <w:r w:rsidR="0085004F" w:rsidRPr="0081236D">
        <w:t xml:space="preserve">A </w:t>
      </w:r>
      <w:r w:rsidRPr="0081236D">
        <w:t>PARLAMENTULUI EUROPEAN ȘI A CONSILIULUI</w:t>
      </w:r>
      <w:bookmarkEnd w:id="7"/>
      <w:bookmarkEnd w:id="8"/>
    </w:p>
    <w:p w14:paraId="231012ED" w14:textId="1B5AEA77" w:rsidR="006E2FBD" w:rsidRPr="0081236D" w:rsidRDefault="006E2FBD" w:rsidP="006E2FBD">
      <w:pPr>
        <w:pStyle w:val="Titreobjet"/>
        <w:rPr>
          <w:noProof/>
        </w:rPr>
      </w:pPr>
      <w:r w:rsidRPr="0081236D">
        <w:t xml:space="preserve">privind mobilizarea Fondului european de ajustare la globalizare pentru lucrătorii disponibilizați în urma unei cereri din partea Belgiei </w:t>
      </w:r>
      <w:r w:rsidRPr="0081236D">
        <w:rPr>
          <w:noProof/>
        </w:rPr>
        <w:t xml:space="preserve">– </w:t>
      </w:r>
      <w:r w:rsidR="00EE464A" w:rsidRPr="0081236D">
        <w:t>EGF</w:t>
      </w:r>
      <w:r w:rsidRPr="0081236D">
        <w:t>/2025/007 BE/Casa</w:t>
      </w:r>
    </w:p>
    <w:bookmarkEnd w:id="9"/>
    <w:p w14:paraId="5199D1DF" w14:textId="021E8A30" w:rsidR="00A350D5" w:rsidRPr="00A350D5" w:rsidRDefault="003670F0" w:rsidP="003670F0">
      <w:pPr>
        <w:spacing w:before="120"/>
      </w:pPr>
      <w:r w:rsidRPr="003670F0">
        <w:rPr>
          <w:i/>
          <w:noProof/>
        </w:rPr>
        <w:t xml:space="preserve">(Textul prezentei anexe nu este reprodus aici, întrucât corespunde cu actul final, Decizia </w:t>
      </w:r>
      <w:r w:rsidRPr="003670F0">
        <w:rPr>
          <w:rStyle w:val="ATHeading3Char"/>
          <w:b w:val="0"/>
          <w:bCs/>
          <w:i/>
        </w:rPr>
        <w:t>(UE) 2026/</w:t>
      </w:r>
      <w:r w:rsidRPr="003670F0">
        <w:rPr>
          <w:rStyle w:val="ATHeading3Char"/>
          <w:b w:val="0"/>
          <w:bCs/>
          <w:i/>
        </w:rPr>
        <w:t>851</w:t>
      </w:r>
      <w:r w:rsidRPr="003670F0">
        <w:rPr>
          <w:rStyle w:val="ATHeading3Char"/>
          <w:b w:val="0"/>
          <w:bCs/>
          <w:i/>
        </w:rPr>
        <w:t>.</w:t>
      </w:r>
      <w:r w:rsidRPr="003670F0">
        <w:rPr>
          <w:i/>
          <w:noProof/>
        </w:rPr>
        <w:t>)</w:t>
      </w:r>
    </w:p>
    <w:sectPr w:rsidR="00A350D5" w:rsidRPr="00A350D5" w:rsidSect="002579D6">
      <w:headerReference w:type="even" r:id="rId13"/>
      <w:headerReference w:type="default" r:id="rId14"/>
      <w:footerReference w:type="even" r:id="rId15"/>
      <w:footerReference w:type="default" r:id="rId16"/>
      <w:headerReference w:type="first" r:id="rId17"/>
      <w:footerReference w:type="first" r:id="rId1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56AA1E" w14:textId="77777777" w:rsidR="007702CD" w:rsidRPr="002579D6" w:rsidRDefault="007702CD">
      <w:r w:rsidRPr="002579D6">
        <w:separator/>
      </w:r>
    </w:p>
  </w:endnote>
  <w:endnote w:type="continuationSeparator" w:id="0">
    <w:p w14:paraId="32951C06" w14:textId="77777777" w:rsidR="007702CD" w:rsidRPr="002579D6" w:rsidRDefault="007702CD">
      <w:r w:rsidRPr="002579D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9C6520" w14:textId="77777777" w:rsidR="006E2FBD" w:rsidRPr="002579D6" w:rsidRDefault="006E2FBD" w:rsidP="00732837">
    <w:pPr>
      <w:pStyle w:val="EPFooter"/>
    </w:pPr>
    <w:r w:rsidRPr="002579D6">
      <w:t>PE</w:t>
    </w:r>
    <w:r w:rsidRPr="002579D6">
      <w:rPr>
        <w:rStyle w:val="HideTWBExt"/>
      </w:rPr>
      <w:t>&lt;NoPE&gt;</w:t>
    </w:r>
    <w:r w:rsidRPr="002579D6">
      <w:t>784.477</w:t>
    </w:r>
    <w:r w:rsidRPr="002579D6">
      <w:rPr>
        <w:rStyle w:val="HideTWBExt"/>
      </w:rPr>
      <w:t>&lt;/NoPE&gt;&lt;Version&gt;</w:t>
    </w:r>
    <w:r w:rsidRPr="002579D6">
      <w:t>v02-00</w:t>
    </w:r>
    <w:r w:rsidRPr="002579D6">
      <w:rPr>
        <w:rStyle w:val="HideTWBExt"/>
      </w:rPr>
      <w:t>&lt;/Version&gt;</w:t>
    </w:r>
    <w:r w:rsidRPr="002579D6">
      <w:tab/>
    </w:r>
    <w:r w:rsidRPr="002579D6">
      <w:fldChar w:fldCharType="begin"/>
    </w:r>
    <w:r w:rsidRPr="002579D6">
      <w:instrText xml:space="preserve"> PAGE  \* MERGEFORMAT </w:instrText>
    </w:r>
    <w:r w:rsidRPr="002579D6">
      <w:fldChar w:fldCharType="separate"/>
    </w:r>
    <w:r w:rsidRPr="002579D6">
      <w:rPr>
        <w:noProof/>
      </w:rPr>
      <w:t>2</w:t>
    </w:r>
    <w:r w:rsidRPr="002579D6">
      <w:fldChar w:fldCharType="end"/>
    </w:r>
    <w:r w:rsidRPr="002579D6">
      <w:t>/</w:t>
    </w:r>
    <w:fldSimple w:instr=" NUMPAGES  \* MERGEFORMAT ">
      <w:r w:rsidRPr="002579D6">
        <w:rPr>
          <w:noProof/>
        </w:rPr>
        <w:t>18</w:t>
      </w:r>
    </w:fldSimple>
    <w:r w:rsidRPr="002579D6">
      <w:tab/>
    </w:r>
    <w:r w:rsidRPr="002579D6">
      <w:rPr>
        <w:rStyle w:val="HideTWBExt"/>
      </w:rPr>
      <w:t>&lt;PathFdR&gt;</w:t>
    </w:r>
    <w:r w:rsidRPr="002579D6">
      <w:t>RR\1339712RO.docx</w:t>
    </w:r>
    <w:r w:rsidRPr="002579D6">
      <w:rPr>
        <w:rStyle w:val="HideTWBExt"/>
      </w:rPr>
      <w:t>&lt;/PathFdR&gt;</w:t>
    </w:r>
  </w:p>
  <w:p w14:paraId="2DE06646" w14:textId="77777777" w:rsidR="006E2FBD" w:rsidRPr="002579D6" w:rsidRDefault="006E2FBD" w:rsidP="00732837">
    <w:pPr>
      <w:pStyle w:val="EPFooter2"/>
    </w:pPr>
    <w:r w:rsidRPr="002579D6">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9B0540" w14:textId="77777777" w:rsidR="006E2FBD" w:rsidRPr="002579D6" w:rsidRDefault="006E2FBD" w:rsidP="00732837">
    <w:pPr>
      <w:pStyle w:val="EPFooter"/>
    </w:pPr>
    <w:r w:rsidRPr="002579D6">
      <w:rPr>
        <w:rStyle w:val="HideTWBExt"/>
      </w:rPr>
      <w:t>&lt;PathFdR&gt;</w:t>
    </w:r>
    <w:r w:rsidRPr="002579D6">
      <w:t>RR\1339712RO.docx</w:t>
    </w:r>
    <w:r w:rsidRPr="002579D6">
      <w:rPr>
        <w:rStyle w:val="HideTWBExt"/>
      </w:rPr>
      <w:t>&lt;/PathFdR&gt;</w:t>
    </w:r>
    <w:r w:rsidRPr="002579D6">
      <w:tab/>
    </w:r>
    <w:r w:rsidRPr="002579D6">
      <w:tab/>
      <w:t>PE</w:t>
    </w:r>
    <w:r w:rsidRPr="002579D6">
      <w:rPr>
        <w:rStyle w:val="HideTWBExt"/>
      </w:rPr>
      <w:t>&lt;NoPE&gt;</w:t>
    </w:r>
    <w:r w:rsidRPr="002579D6">
      <w:t>784.477</w:t>
    </w:r>
    <w:r w:rsidRPr="002579D6">
      <w:rPr>
        <w:rStyle w:val="HideTWBExt"/>
      </w:rPr>
      <w:t>&lt;/NoPE&gt;&lt;Version&gt;</w:t>
    </w:r>
    <w:r w:rsidRPr="002579D6">
      <w:t>v02-00</w:t>
    </w:r>
    <w:r w:rsidRPr="002579D6">
      <w:rPr>
        <w:rStyle w:val="HideTWBExt"/>
      </w:rPr>
      <w:t>&lt;/Version&gt;</w:t>
    </w:r>
  </w:p>
  <w:p w14:paraId="34254E74" w14:textId="77777777" w:rsidR="006E2FBD" w:rsidRPr="002579D6" w:rsidRDefault="006E2FBD" w:rsidP="00732837">
    <w:pPr>
      <w:pStyle w:val="EPFooter2"/>
    </w:pPr>
    <w:r w:rsidRPr="002579D6">
      <w:t>RO</w:t>
    </w:r>
    <w:r w:rsidRPr="002579D6">
      <w:tab/>
    </w:r>
    <w:r w:rsidRPr="002579D6">
      <w:rPr>
        <w:b w:val="0"/>
        <w:i/>
        <w:color w:val="C0C0C0"/>
        <w:sz w:val="22"/>
      </w:rPr>
      <w:t>Unită în diversitate</w:t>
    </w:r>
    <w:r w:rsidRPr="002579D6">
      <w:tab/>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4A7F1B" w14:textId="77777777" w:rsidR="00064002" w:rsidRPr="002579D6"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67CFE4" w14:textId="77777777" w:rsidR="00064002" w:rsidRPr="002579D6"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94163" w14:textId="77777777" w:rsidR="00064002" w:rsidRPr="002579D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68C458" w14:textId="77777777" w:rsidR="007702CD" w:rsidRPr="002579D6" w:rsidRDefault="007702CD">
      <w:r w:rsidRPr="002579D6">
        <w:separator/>
      </w:r>
    </w:p>
  </w:footnote>
  <w:footnote w:type="continuationSeparator" w:id="0">
    <w:p w14:paraId="41EB5092" w14:textId="77777777" w:rsidR="007702CD" w:rsidRPr="002579D6" w:rsidRDefault="007702CD">
      <w:r w:rsidRPr="002579D6">
        <w:continuationSeparator/>
      </w:r>
    </w:p>
  </w:footnote>
  <w:footnote w:id="1">
    <w:p w14:paraId="51EBE0EE" w14:textId="3CCAFC33" w:rsidR="006E2FBD" w:rsidRPr="002579D6" w:rsidRDefault="006E2FBD" w:rsidP="002579D6">
      <w:pPr>
        <w:pStyle w:val="FootnoteText"/>
        <w:ind w:left="567" w:hanging="567"/>
        <w:rPr>
          <w:sz w:val="24"/>
          <w:lang w:val="ro-RO"/>
        </w:rPr>
      </w:pPr>
      <w:r w:rsidRPr="002579D6">
        <w:rPr>
          <w:rStyle w:val="FootnoteReference"/>
          <w:sz w:val="24"/>
          <w:lang w:val="ro-RO"/>
        </w:rPr>
        <w:footnoteRef/>
      </w:r>
      <w:r w:rsidR="002579D6" w:rsidRPr="002579D6">
        <w:rPr>
          <w:sz w:val="24"/>
          <w:lang w:val="ro-RO"/>
        </w:rPr>
        <w:t xml:space="preserve"> </w:t>
      </w:r>
      <w:r w:rsidR="002579D6" w:rsidRPr="002579D6">
        <w:rPr>
          <w:sz w:val="24"/>
          <w:lang w:val="ro-RO"/>
        </w:rPr>
        <w:tab/>
      </w:r>
      <w:r w:rsidRPr="002579D6">
        <w:rPr>
          <w:sz w:val="24"/>
          <w:lang w:val="ro-RO"/>
        </w:rPr>
        <w:t xml:space="preserve">JO L 153, 3.5.2021, p. 48, ELI: </w:t>
      </w:r>
      <w:hyperlink r:id="rId1" w:history="1">
        <w:r w:rsidRPr="002579D6">
          <w:rPr>
            <w:rStyle w:val="Hyperlink"/>
            <w:sz w:val="24"/>
            <w:lang w:val="ro-RO"/>
          </w:rPr>
          <w:t>http://data.europa.eu/eli/reg/2021/691/oj</w:t>
        </w:r>
      </w:hyperlink>
      <w:r w:rsidRPr="002579D6">
        <w:rPr>
          <w:sz w:val="24"/>
          <w:lang w:val="ro-RO"/>
        </w:rPr>
        <w:t>.</w:t>
      </w:r>
    </w:p>
  </w:footnote>
  <w:footnote w:id="2">
    <w:p w14:paraId="6120DA42" w14:textId="15342646" w:rsidR="006E2FBD" w:rsidRPr="002579D6" w:rsidRDefault="006E2FBD" w:rsidP="002579D6">
      <w:pPr>
        <w:pStyle w:val="FootnoteText"/>
        <w:ind w:left="567" w:hanging="567"/>
        <w:rPr>
          <w:sz w:val="24"/>
          <w:lang w:val="ro-RO"/>
        </w:rPr>
      </w:pPr>
      <w:r w:rsidRPr="002579D6">
        <w:rPr>
          <w:rStyle w:val="FootnoteReference"/>
          <w:sz w:val="24"/>
          <w:lang w:val="ro-RO"/>
        </w:rPr>
        <w:footnoteRef/>
      </w:r>
      <w:r w:rsidR="002579D6" w:rsidRPr="002579D6">
        <w:rPr>
          <w:sz w:val="24"/>
          <w:lang w:val="ro-RO"/>
        </w:rPr>
        <w:t xml:space="preserve"> </w:t>
      </w:r>
      <w:r w:rsidR="002579D6" w:rsidRPr="002579D6">
        <w:rPr>
          <w:sz w:val="24"/>
          <w:lang w:val="ro-RO"/>
        </w:rPr>
        <w:tab/>
      </w:r>
      <w:r w:rsidRPr="002579D6">
        <w:rPr>
          <w:sz w:val="24"/>
          <w:lang w:val="ro-RO"/>
        </w:rPr>
        <w:t xml:space="preserve">JO L 433 I, 22.12.2020, p. </w:t>
      </w:r>
      <w:r w:rsidRPr="002579D6">
        <w:rPr>
          <w:sz w:val="24"/>
          <w:lang w:val="ro-RO"/>
        </w:rPr>
        <w:t xml:space="preserve">11, ELI: </w:t>
      </w:r>
      <w:hyperlink r:id="rId2" w:history="1">
        <w:r w:rsidRPr="002579D6">
          <w:rPr>
            <w:rStyle w:val="Hyperlink"/>
            <w:sz w:val="24"/>
            <w:lang w:val="ro-RO"/>
          </w:rPr>
          <w:t>http://data.europa.eu/eli/reg/2020/2093/oj</w:t>
        </w:r>
      </w:hyperlink>
      <w:r w:rsidRPr="002579D6">
        <w:rPr>
          <w:sz w:val="24"/>
          <w:lang w:val="ro-RO"/>
        </w:rPr>
        <w:t>.</w:t>
      </w:r>
    </w:p>
  </w:footnote>
  <w:footnote w:id="3">
    <w:p w14:paraId="446200F9" w14:textId="2E35554C" w:rsidR="006E2FBD" w:rsidRPr="002579D6" w:rsidRDefault="006E2FBD" w:rsidP="002579D6">
      <w:pPr>
        <w:pStyle w:val="FootnoteText"/>
        <w:ind w:left="567" w:hanging="567"/>
        <w:rPr>
          <w:sz w:val="24"/>
          <w:lang w:val="ro-RO"/>
        </w:rPr>
      </w:pPr>
      <w:r w:rsidRPr="002579D6">
        <w:rPr>
          <w:rStyle w:val="FootnoteReference"/>
          <w:sz w:val="24"/>
          <w:lang w:val="ro-RO"/>
        </w:rPr>
        <w:footnoteRef/>
      </w:r>
      <w:r w:rsidR="002579D6" w:rsidRPr="002579D6">
        <w:rPr>
          <w:sz w:val="24"/>
          <w:shd w:val="clear" w:color="auto" w:fill="FFFFFF"/>
          <w:lang w:val="ro-RO"/>
        </w:rPr>
        <w:t xml:space="preserve"> </w:t>
      </w:r>
      <w:r w:rsidR="002579D6" w:rsidRPr="002579D6">
        <w:rPr>
          <w:sz w:val="24"/>
          <w:shd w:val="clear" w:color="auto" w:fill="FFFFFF"/>
          <w:lang w:val="ro-RO"/>
        </w:rPr>
        <w:tab/>
      </w:r>
      <w:r w:rsidRPr="002579D6">
        <w:rPr>
          <w:sz w:val="24"/>
          <w:shd w:val="clear" w:color="auto" w:fill="FFFFFF"/>
          <w:lang w:val="ro-RO"/>
        </w:rPr>
        <w:t>Regulamentul (UE, Euratom) 2024/765 al Consiliului din 29 februarie 2024 de modificare a Regulamentului (UE, Euratom) 2020/2093 de stabilire a cadrului financiar multianual pentru perioada 2021-2027 (JO L, 2024/765, 29.2.2024, ELI:</w:t>
      </w:r>
      <w:r w:rsidRPr="002579D6">
        <w:rPr>
          <w:color w:val="333333"/>
          <w:sz w:val="24"/>
          <w:shd w:val="clear" w:color="auto" w:fill="FFFFFF"/>
          <w:lang w:val="ro-RO"/>
        </w:rPr>
        <w:t xml:space="preserve"> </w:t>
      </w:r>
      <w:r w:rsidR="00426C42">
        <w:rPr>
          <w:color w:val="333333"/>
          <w:sz w:val="24"/>
          <w:shd w:val="clear" w:color="auto" w:fill="FFFFFF"/>
          <w:lang w:val="ro-RO"/>
        </w:rPr>
        <w:t> </w:t>
      </w:r>
      <w:hyperlink r:id="rId3" w:history="1">
        <w:r w:rsidR="00426C42" w:rsidRPr="00426C42">
          <w:rPr>
            <w:rStyle w:val="Hyperlink"/>
            <w:sz w:val="24"/>
            <w:shd w:val="clear" w:color="auto" w:fill="FFFFFF"/>
            <w:lang w:val="ro-RO"/>
          </w:rPr>
          <w:t>http://data.europa.eu/eli/reg/2024/765/oj</w:t>
        </w:r>
      </w:hyperlink>
      <w:r w:rsidRPr="002579D6">
        <w:rPr>
          <w:i/>
          <w:color w:val="333333"/>
          <w:sz w:val="24"/>
          <w:shd w:val="clear" w:color="auto" w:fill="FFFFFF"/>
          <w:lang w:val="ro-RO"/>
        </w:rPr>
        <w:t>).</w:t>
      </w:r>
    </w:p>
  </w:footnote>
  <w:footnote w:id="4">
    <w:p w14:paraId="7ECC38FA" w14:textId="412B883E" w:rsidR="006E2FBD" w:rsidRPr="002579D6" w:rsidRDefault="006E2FBD" w:rsidP="002579D6">
      <w:pPr>
        <w:pStyle w:val="FootnoteText"/>
        <w:ind w:left="567" w:hanging="567"/>
        <w:rPr>
          <w:sz w:val="24"/>
          <w:lang w:val="ro-RO"/>
        </w:rPr>
      </w:pPr>
      <w:r w:rsidRPr="002579D6">
        <w:rPr>
          <w:rStyle w:val="FootnoteReference"/>
          <w:sz w:val="24"/>
          <w:lang w:val="ro-RO"/>
        </w:rPr>
        <w:footnoteRef/>
      </w:r>
      <w:r w:rsidR="002579D6" w:rsidRPr="002579D6">
        <w:rPr>
          <w:sz w:val="24"/>
          <w:lang w:val="ro-RO"/>
        </w:rPr>
        <w:t xml:space="preserve"> </w:t>
      </w:r>
      <w:r w:rsidR="002579D6" w:rsidRPr="002579D6">
        <w:rPr>
          <w:sz w:val="24"/>
          <w:lang w:val="ro-RO"/>
        </w:rPr>
        <w:tab/>
      </w:r>
      <w:r w:rsidRPr="002579D6">
        <w:rPr>
          <w:sz w:val="24"/>
          <w:lang w:val="ro-RO"/>
        </w:rPr>
        <w:t xml:space="preserve">JO L 433 I, 22.12.2020, p. </w:t>
      </w:r>
      <w:r w:rsidRPr="002579D6">
        <w:rPr>
          <w:sz w:val="24"/>
          <w:lang w:val="ro-RO"/>
        </w:rPr>
        <w:t xml:space="preserve">28, ELI: </w:t>
      </w:r>
      <w:r w:rsidR="00426C42">
        <w:rPr>
          <w:sz w:val="24"/>
          <w:lang w:val="ro-RO"/>
        </w:rPr>
        <w:t> </w:t>
      </w:r>
      <w:hyperlink r:id="rId4" w:history="1">
        <w:r w:rsidR="00426C42" w:rsidRPr="00426C42">
          <w:rPr>
            <w:rStyle w:val="Hyperlink"/>
            <w:sz w:val="24"/>
            <w:lang w:val="ro-RO"/>
          </w:rPr>
          <w:t>http://data.europa.eu/eli/agree_interinstit/2020/1222/oj</w:t>
        </w:r>
      </w:hyperlink>
      <w:r w:rsidRPr="002579D6">
        <w:rPr>
          <w:sz w:val="24"/>
          <w:lang w:val="ro-RO"/>
        </w:rPr>
        <w:t>.</w:t>
      </w:r>
    </w:p>
  </w:footnote>
  <w:footnote w:id="5">
    <w:p w14:paraId="7BB2DDEE" w14:textId="3D6D6E09" w:rsidR="006E2FBD" w:rsidRPr="002579D6" w:rsidRDefault="006E2FBD" w:rsidP="002579D6">
      <w:pPr>
        <w:pStyle w:val="FootnoteText"/>
        <w:ind w:left="567" w:hanging="567"/>
        <w:rPr>
          <w:sz w:val="24"/>
          <w:lang w:val="ro-RO"/>
        </w:rPr>
      </w:pPr>
      <w:r w:rsidRPr="002579D6">
        <w:rPr>
          <w:rStyle w:val="FootnoteReference"/>
          <w:sz w:val="24"/>
          <w:lang w:val="ro-RO"/>
        </w:rPr>
        <w:footnoteRef/>
      </w:r>
      <w:r w:rsidR="002579D6" w:rsidRPr="002579D6">
        <w:rPr>
          <w:sz w:val="24"/>
          <w:lang w:val="ro-RO"/>
        </w:rPr>
        <w:t xml:space="preserve"> </w:t>
      </w:r>
      <w:r w:rsidR="002579D6" w:rsidRPr="002579D6">
        <w:rPr>
          <w:sz w:val="24"/>
          <w:lang w:val="ro-RO"/>
        </w:rPr>
        <w:tab/>
      </w:r>
      <w:r w:rsidRPr="002579D6">
        <w:rPr>
          <w:sz w:val="24"/>
          <w:lang w:val="ro-RO"/>
        </w:rPr>
        <w:t>În sensul articolului 3 din Regulamentul privind FEG.</w:t>
      </w:r>
    </w:p>
  </w:footnote>
  <w:footnote w:id="6">
    <w:p w14:paraId="17F8F145" w14:textId="20437BFC" w:rsidR="006E2FBD" w:rsidRPr="002579D6" w:rsidRDefault="006E2FBD" w:rsidP="002579D6">
      <w:pPr>
        <w:pStyle w:val="FootnoteText"/>
        <w:ind w:left="567" w:hanging="567"/>
        <w:rPr>
          <w:sz w:val="24"/>
          <w:lang w:val="ro-RO"/>
        </w:rPr>
      </w:pPr>
      <w:r w:rsidRPr="002579D6">
        <w:rPr>
          <w:rStyle w:val="FootnoteReference"/>
          <w:sz w:val="24"/>
          <w:lang w:val="ro-RO"/>
        </w:rPr>
        <w:footnoteRef/>
      </w:r>
      <w:r w:rsidR="002579D6" w:rsidRPr="002579D6">
        <w:rPr>
          <w:sz w:val="24"/>
          <w:lang w:val="ro-RO"/>
        </w:rPr>
        <w:t xml:space="preserve"> </w:t>
      </w:r>
      <w:r w:rsidR="002579D6" w:rsidRPr="002579D6">
        <w:rPr>
          <w:sz w:val="24"/>
          <w:lang w:val="ro-RO"/>
        </w:rPr>
        <w:tab/>
      </w:r>
      <w:r w:rsidRPr="002579D6">
        <w:rPr>
          <w:sz w:val="24"/>
          <w:lang w:val="ro-RO"/>
        </w:rPr>
        <w:t>Articolul 8 din Regulamentul privind CFM.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ACC2F7" w14:textId="77777777" w:rsidR="006E2FBD" w:rsidRPr="002579D6" w:rsidRDefault="006E2FBD">
    <w:pPr>
      <w:pStyle w:val="Header"/>
    </w:pPr>
  </w:p>
  <w:p w14:paraId="1AC065BC" w14:textId="77777777" w:rsidR="006E2FBD" w:rsidRPr="002579D6" w:rsidRDefault="006E2FBD"/>
  <w:p w14:paraId="620B9544" w14:textId="77777777" w:rsidR="006E2FBD" w:rsidRPr="002579D6" w:rsidRDefault="006E2FB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A845B" w14:textId="77777777" w:rsidR="006E2FBD" w:rsidRPr="002579D6" w:rsidRDefault="006E2FBD"/>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D601D" w14:textId="77777777" w:rsidR="00064002" w:rsidRPr="002579D6" w:rsidRDefault="00064002"/>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A7A281" w14:textId="77777777" w:rsidR="00064002" w:rsidRPr="002579D6" w:rsidRDefault="0006400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886A9" w14:textId="77777777" w:rsidR="00064002" w:rsidRPr="002579D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7791187">
    <w:abstractNumId w:val="9"/>
  </w:num>
  <w:num w:numId="2" w16cid:durableId="382218761">
    <w:abstractNumId w:val="9"/>
  </w:num>
  <w:num w:numId="3" w16cid:durableId="1451776998">
    <w:abstractNumId w:val="7"/>
  </w:num>
  <w:num w:numId="4" w16cid:durableId="544830474">
    <w:abstractNumId w:val="7"/>
  </w:num>
  <w:num w:numId="5" w16cid:durableId="499547937">
    <w:abstractNumId w:val="6"/>
  </w:num>
  <w:num w:numId="6" w16cid:durableId="1307005741">
    <w:abstractNumId w:val="6"/>
  </w:num>
  <w:num w:numId="7" w16cid:durableId="1447970411">
    <w:abstractNumId w:val="5"/>
  </w:num>
  <w:num w:numId="8" w16cid:durableId="1641421503">
    <w:abstractNumId w:val="5"/>
  </w:num>
  <w:num w:numId="9" w16cid:durableId="1633096169">
    <w:abstractNumId w:val="4"/>
  </w:num>
  <w:num w:numId="10" w16cid:durableId="1999571045">
    <w:abstractNumId w:val="4"/>
  </w:num>
  <w:num w:numId="11" w16cid:durableId="1886331507">
    <w:abstractNumId w:val="8"/>
  </w:num>
  <w:num w:numId="12" w16cid:durableId="1316497287">
    <w:abstractNumId w:val="8"/>
  </w:num>
  <w:num w:numId="13" w16cid:durableId="1614315046">
    <w:abstractNumId w:val="3"/>
  </w:num>
  <w:num w:numId="14" w16cid:durableId="685712985">
    <w:abstractNumId w:val="3"/>
  </w:num>
  <w:num w:numId="15" w16cid:durableId="769202546">
    <w:abstractNumId w:val="2"/>
  </w:num>
  <w:num w:numId="16" w16cid:durableId="1386218980">
    <w:abstractNumId w:val="2"/>
  </w:num>
  <w:num w:numId="17" w16cid:durableId="2013531468">
    <w:abstractNumId w:val="1"/>
  </w:num>
  <w:num w:numId="18" w16cid:durableId="823082531">
    <w:abstractNumId w:val="1"/>
  </w:num>
  <w:num w:numId="19" w16cid:durableId="1203786105">
    <w:abstractNumId w:val="0"/>
  </w:num>
  <w:num w:numId="20" w16cid:durableId="146558621">
    <w:abstractNumId w:val="0"/>
  </w:num>
  <w:num w:numId="21" w16cid:durableId="1744792443">
    <w:abstractNumId w:val="9"/>
  </w:num>
  <w:num w:numId="22" w16cid:durableId="1273829173">
    <w:abstractNumId w:val="7"/>
  </w:num>
  <w:num w:numId="23" w16cid:durableId="1824466498">
    <w:abstractNumId w:val="6"/>
  </w:num>
  <w:num w:numId="24" w16cid:durableId="1972054838">
    <w:abstractNumId w:val="5"/>
  </w:num>
  <w:num w:numId="25" w16cid:durableId="992568565">
    <w:abstractNumId w:val="4"/>
  </w:num>
  <w:num w:numId="26" w16cid:durableId="1594974837">
    <w:abstractNumId w:val="8"/>
  </w:num>
  <w:num w:numId="27" w16cid:durableId="615866952">
    <w:abstractNumId w:val="3"/>
  </w:num>
  <w:num w:numId="28" w16cid:durableId="573515743">
    <w:abstractNumId w:val="2"/>
  </w:num>
  <w:num w:numId="29" w16cid:durableId="21371261">
    <w:abstractNumId w:val="1"/>
  </w:num>
  <w:num w:numId="30" w16cid:durableId="1753231615">
    <w:abstractNumId w:val="0"/>
  </w:num>
  <w:num w:numId="31" w16cid:durableId="1917202743">
    <w:abstractNumId w:val="9"/>
  </w:num>
  <w:num w:numId="32" w16cid:durableId="130947085">
    <w:abstractNumId w:val="7"/>
  </w:num>
  <w:num w:numId="33" w16cid:durableId="85737809">
    <w:abstractNumId w:val="6"/>
  </w:num>
  <w:num w:numId="34" w16cid:durableId="1194684224">
    <w:abstractNumId w:val="5"/>
  </w:num>
  <w:num w:numId="35" w16cid:durableId="564029668">
    <w:abstractNumId w:val="4"/>
  </w:num>
  <w:num w:numId="36" w16cid:durableId="1635335202">
    <w:abstractNumId w:val="8"/>
  </w:num>
  <w:num w:numId="37" w16cid:durableId="1241792515">
    <w:abstractNumId w:val="3"/>
  </w:num>
  <w:num w:numId="38" w16cid:durableId="2146240345">
    <w:abstractNumId w:val="2"/>
  </w:num>
  <w:num w:numId="39" w16cid:durableId="753815676">
    <w:abstractNumId w:val="1"/>
  </w:num>
  <w:num w:numId="40" w16cid:durableId="1477338971">
    <w:abstractNumId w:val="0"/>
  </w:num>
  <w:num w:numId="41" w16cid:durableId="582494810">
    <w:abstractNumId w:val="10"/>
  </w:num>
  <w:num w:numId="42" w16cid:durableId="2028677488">
    <w:abstractNumId w:val="10"/>
  </w:num>
  <w:num w:numId="43" w16cid:durableId="492917190">
    <w:abstractNumId w:val="10"/>
  </w:num>
  <w:num w:numId="44" w16cid:durableId="91327564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61/2026"/>
    <w:docVar w:name="dvlangue" w:val="RO"/>
    <w:docVar w:name="dvnumam" w:val="0"/>
    <w:docVar w:name="dvpe" w:val="784.477"/>
    <w:docVar w:name="dvrapporteur" w:val="Raportoare: "/>
    <w:docVar w:name="dvtitre" w:val="Rezoluția Parlamentului European din 26 martie 2026 referitoare la propunerea de decizie a Parlamentului European și a Consiliului privind mobilizarea Fondului european de ajustare la globalizare pentru lucrătorii disponibilizați în urma unei cereri din partea Belgiei – FEG/2025/007 BE/Casa(COM(2026)0003 – C10-0025/2026 – 2026/0038(BUD))"/>
  </w:docVars>
  <w:rsids>
    <w:rsidRoot w:val="007702CD"/>
    <w:rsid w:val="00002272"/>
    <w:rsid w:val="00064002"/>
    <w:rsid w:val="000677B9"/>
    <w:rsid w:val="000748EC"/>
    <w:rsid w:val="000831BA"/>
    <w:rsid w:val="000A42CC"/>
    <w:rsid w:val="000E7DD9"/>
    <w:rsid w:val="000F52B7"/>
    <w:rsid w:val="0010095E"/>
    <w:rsid w:val="00125B37"/>
    <w:rsid w:val="00187494"/>
    <w:rsid w:val="001F32AE"/>
    <w:rsid w:val="002579D6"/>
    <w:rsid w:val="00270029"/>
    <w:rsid w:val="002767FF"/>
    <w:rsid w:val="002B18FE"/>
    <w:rsid w:val="002B5493"/>
    <w:rsid w:val="00343214"/>
    <w:rsid w:val="00357CC7"/>
    <w:rsid w:val="00361C00"/>
    <w:rsid w:val="003670F0"/>
    <w:rsid w:val="00395FA1"/>
    <w:rsid w:val="003E15D4"/>
    <w:rsid w:val="00411CCE"/>
    <w:rsid w:val="0041666E"/>
    <w:rsid w:val="00421060"/>
    <w:rsid w:val="00426C42"/>
    <w:rsid w:val="00471C19"/>
    <w:rsid w:val="00474E83"/>
    <w:rsid w:val="004867E3"/>
    <w:rsid w:val="00487B8C"/>
    <w:rsid w:val="00494A28"/>
    <w:rsid w:val="004C0004"/>
    <w:rsid w:val="004C5D52"/>
    <w:rsid w:val="004F2020"/>
    <w:rsid w:val="0050519A"/>
    <w:rsid w:val="005072A1"/>
    <w:rsid w:val="00514517"/>
    <w:rsid w:val="00545827"/>
    <w:rsid w:val="00560270"/>
    <w:rsid w:val="005C2568"/>
    <w:rsid w:val="005F1B17"/>
    <w:rsid w:val="006037C0"/>
    <w:rsid w:val="006631B6"/>
    <w:rsid w:val="00680577"/>
    <w:rsid w:val="006E2FBD"/>
    <w:rsid w:val="006F74FA"/>
    <w:rsid w:val="00731ADD"/>
    <w:rsid w:val="00734777"/>
    <w:rsid w:val="00747932"/>
    <w:rsid w:val="00751A4A"/>
    <w:rsid w:val="00756632"/>
    <w:rsid w:val="00762C74"/>
    <w:rsid w:val="007702CD"/>
    <w:rsid w:val="00786EC0"/>
    <w:rsid w:val="007D1690"/>
    <w:rsid w:val="007E22AD"/>
    <w:rsid w:val="008103E8"/>
    <w:rsid w:val="0081236D"/>
    <w:rsid w:val="00817416"/>
    <w:rsid w:val="00842779"/>
    <w:rsid w:val="0085004F"/>
    <w:rsid w:val="00865F67"/>
    <w:rsid w:val="00881A7B"/>
    <w:rsid w:val="008840E5"/>
    <w:rsid w:val="00887B3E"/>
    <w:rsid w:val="008A2ED7"/>
    <w:rsid w:val="008C2AC6"/>
    <w:rsid w:val="00930C23"/>
    <w:rsid w:val="0093193B"/>
    <w:rsid w:val="009509D8"/>
    <w:rsid w:val="00950B64"/>
    <w:rsid w:val="00981893"/>
    <w:rsid w:val="00A1687D"/>
    <w:rsid w:val="00A350D5"/>
    <w:rsid w:val="00A43E52"/>
    <w:rsid w:val="00A4678D"/>
    <w:rsid w:val="00A778C7"/>
    <w:rsid w:val="00AB441E"/>
    <w:rsid w:val="00AB6293"/>
    <w:rsid w:val="00AE0928"/>
    <w:rsid w:val="00AF3B82"/>
    <w:rsid w:val="00B12E95"/>
    <w:rsid w:val="00B22876"/>
    <w:rsid w:val="00B465BA"/>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3117"/>
    <w:rsid w:val="00DA7FCD"/>
    <w:rsid w:val="00DF1E9D"/>
    <w:rsid w:val="00E16F38"/>
    <w:rsid w:val="00E365E1"/>
    <w:rsid w:val="00E820A4"/>
    <w:rsid w:val="00E936C9"/>
    <w:rsid w:val="00EB006A"/>
    <w:rsid w:val="00EB4772"/>
    <w:rsid w:val="00ED169E"/>
    <w:rsid w:val="00ED4235"/>
    <w:rsid w:val="00EE464A"/>
    <w:rsid w:val="00F04346"/>
    <w:rsid w:val="00F075DC"/>
    <w:rsid w:val="00F149E9"/>
    <w:rsid w:val="00F5134D"/>
    <w:rsid w:val="00F707F8"/>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076746"/>
  <w15:chartTrackingRefBased/>
  <w15:docId w15:val="{E2ACD9D2-E569-4DA3-B41C-839DC45739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link w:val="ATHeading3Char"/>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Footnote symbol,Footnote,16 Point,Superscript 6 Point,Footnote Reference Number,Footnote Reference_LVL6,Footnote Reference_LVL61,Footnote Reference_LVL62,Footnote Reference_LVL63"/>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6E2FBD"/>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6E2FBD"/>
    <w:pPr>
      <w:keepNext/>
      <w:spacing w:after="480"/>
      <w:jc w:val="center"/>
    </w:pPr>
    <w:rPr>
      <w:rFonts w:ascii="Arial" w:hAnsi="Arial" w:cs="Arial"/>
      <w:b/>
    </w:rPr>
  </w:style>
  <w:style w:type="paragraph" w:customStyle="1" w:styleId="NormalHanging12a">
    <w:name w:val="NormalHanging12a"/>
    <w:basedOn w:val="Normal"/>
    <w:link w:val="NormalHanging12aChar"/>
    <w:rsid w:val="006E2FBD"/>
    <w:pPr>
      <w:spacing w:after="240"/>
      <w:ind w:left="567" w:hanging="567"/>
    </w:pPr>
  </w:style>
  <w:style w:type="paragraph" w:styleId="Header">
    <w:name w:val="header"/>
    <w:basedOn w:val="Normal"/>
    <w:link w:val="HeaderChar"/>
    <w:rsid w:val="006E2FBD"/>
    <w:pPr>
      <w:tabs>
        <w:tab w:val="center" w:pos="4513"/>
        <w:tab w:val="right" w:pos="9026"/>
      </w:tabs>
    </w:pPr>
  </w:style>
  <w:style w:type="character" w:customStyle="1" w:styleId="HeaderChar">
    <w:name w:val="Header Char"/>
    <w:basedOn w:val="DefaultParagraphFont"/>
    <w:link w:val="Header"/>
    <w:rsid w:val="006E2FBD"/>
    <w:rPr>
      <w:sz w:val="24"/>
      <w:lang w:val="ro-RO"/>
    </w:rPr>
  </w:style>
  <w:style w:type="paragraph" w:customStyle="1" w:styleId="EPFooter">
    <w:name w:val="EPFooter"/>
    <w:basedOn w:val="Normal"/>
    <w:rsid w:val="006E2FBD"/>
    <w:pPr>
      <w:tabs>
        <w:tab w:val="center" w:pos="4535"/>
        <w:tab w:val="right" w:pos="9071"/>
      </w:tabs>
      <w:spacing w:before="240" w:after="240"/>
    </w:pPr>
    <w:rPr>
      <w:color w:val="010000"/>
      <w:sz w:val="22"/>
    </w:rPr>
  </w:style>
  <w:style w:type="paragraph" w:customStyle="1" w:styleId="EPComma">
    <w:name w:val="EPComma"/>
    <w:basedOn w:val="Normal"/>
    <w:rsid w:val="006E2FBD"/>
    <w:pPr>
      <w:spacing w:before="480" w:after="240"/>
    </w:pPr>
  </w:style>
  <w:style w:type="character" w:styleId="Hyperlink">
    <w:name w:val="Hyperlink"/>
    <w:basedOn w:val="DefaultParagraphFont"/>
    <w:uiPriority w:val="99"/>
    <w:rsid w:val="006E2FBD"/>
    <w:rPr>
      <w:color w:val="0563C1" w:themeColor="hyperlink"/>
      <w:u w:val="single"/>
    </w:rPr>
  </w:style>
  <w:style w:type="character" w:customStyle="1" w:styleId="NormalHanging12aChar">
    <w:name w:val="NormalHanging12a Char"/>
    <w:basedOn w:val="DefaultParagraphFont"/>
    <w:link w:val="NormalHanging12a"/>
    <w:locked/>
    <w:rsid w:val="006E2FBD"/>
    <w:rPr>
      <w:sz w:val="24"/>
      <w:lang w:val="ro-RO"/>
    </w:rPr>
  </w:style>
  <w:style w:type="character" w:customStyle="1" w:styleId="PageHeadingChar">
    <w:name w:val="PageHeading Char"/>
    <w:basedOn w:val="DefaultParagraphFont"/>
    <w:link w:val="PageHeading"/>
    <w:locked/>
    <w:rsid w:val="006E2FBD"/>
    <w:rPr>
      <w:rFonts w:ascii="Arial" w:hAnsi="Arial" w:cs="Arial"/>
      <w:b/>
      <w:sz w:val="24"/>
      <w:lang w:val="ro-RO"/>
    </w:rPr>
  </w:style>
  <w:style w:type="paragraph" w:customStyle="1" w:styleId="Titreobjet">
    <w:name w:val="Titre objet"/>
    <w:basedOn w:val="Normal"/>
    <w:next w:val="Normal"/>
    <w:rsid w:val="006E2FBD"/>
    <w:pPr>
      <w:widowControl/>
      <w:spacing w:before="360" w:after="360"/>
      <w:jc w:val="center"/>
    </w:pPr>
    <w:rPr>
      <w:rFonts w:eastAsiaTheme="minorHAnsi"/>
      <w:b/>
      <w:szCs w:val="22"/>
      <w:lang w:eastAsia="en-US"/>
    </w:rPr>
  </w:style>
  <w:style w:type="paragraph" w:customStyle="1" w:styleId="Fait">
    <w:name w:val="Fait à"/>
    <w:basedOn w:val="Normal"/>
    <w:next w:val="Institutionquisigne"/>
    <w:rsid w:val="006E2FBD"/>
    <w:pPr>
      <w:keepNext/>
      <w:widowControl/>
      <w:spacing w:before="120"/>
      <w:jc w:val="both"/>
    </w:pPr>
    <w:rPr>
      <w:rFonts w:eastAsiaTheme="minorHAnsi"/>
      <w:szCs w:val="22"/>
      <w:lang w:eastAsia="en-US"/>
    </w:rPr>
  </w:style>
  <w:style w:type="paragraph" w:customStyle="1" w:styleId="Formuledadoption">
    <w:name w:val="Formule d'adoption"/>
    <w:basedOn w:val="Normal"/>
    <w:next w:val="Titrearticle"/>
    <w:rsid w:val="006E2FBD"/>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6E2FBD"/>
    <w:pPr>
      <w:keepNext/>
      <w:widowControl/>
      <w:spacing w:before="600" w:after="120"/>
      <w:jc w:val="both"/>
    </w:pPr>
    <w:rPr>
      <w:rFonts w:eastAsiaTheme="minorHAnsi"/>
      <w:szCs w:val="22"/>
      <w:lang w:eastAsia="en-US"/>
    </w:rPr>
  </w:style>
  <w:style w:type="paragraph" w:customStyle="1" w:styleId="Institutionquisigne">
    <w:name w:val="Institution qui signe"/>
    <w:basedOn w:val="Normal"/>
    <w:next w:val="Personnequisigne"/>
    <w:rsid w:val="006E2FBD"/>
    <w:pPr>
      <w:keepNext/>
      <w:widowControl/>
      <w:tabs>
        <w:tab w:val="left" w:pos="4252"/>
      </w:tabs>
      <w:spacing w:before="720"/>
      <w:jc w:val="both"/>
    </w:pPr>
    <w:rPr>
      <w:rFonts w:eastAsiaTheme="minorHAnsi"/>
      <w:i/>
      <w:szCs w:val="22"/>
      <w:lang w:eastAsia="en-US"/>
    </w:rPr>
  </w:style>
  <w:style w:type="paragraph" w:customStyle="1" w:styleId="ManualConsidrant">
    <w:name w:val="Manual Considérant"/>
    <w:basedOn w:val="Normal"/>
    <w:rsid w:val="006E2FBD"/>
    <w:pPr>
      <w:widowControl/>
      <w:spacing w:before="120" w:after="120"/>
      <w:ind w:left="709" w:hanging="709"/>
      <w:jc w:val="both"/>
    </w:pPr>
    <w:rPr>
      <w:rFonts w:eastAsiaTheme="minorHAnsi"/>
      <w:szCs w:val="22"/>
      <w:lang w:eastAsia="en-US"/>
    </w:rPr>
  </w:style>
  <w:style w:type="paragraph" w:customStyle="1" w:styleId="Personnequisigne">
    <w:name w:val="Personne qui signe"/>
    <w:basedOn w:val="Normal"/>
    <w:next w:val="Institutionquisigne"/>
    <w:rsid w:val="006E2FBD"/>
    <w:pPr>
      <w:widowControl/>
      <w:tabs>
        <w:tab w:val="left" w:pos="4252"/>
      </w:tabs>
    </w:pPr>
    <w:rPr>
      <w:rFonts w:eastAsiaTheme="minorHAnsi"/>
      <w:i/>
      <w:szCs w:val="22"/>
      <w:lang w:eastAsia="en-US"/>
    </w:rPr>
  </w:style>
  <w:style w:type="paragraph" w:customStyle="1" w:styleId="Titrearticle">
    <w:name w:val="Titre article"/>
    <w:basedOn w:val="Normal"/>
    <w:next w:val="Normal"/>
    <w:rsid w:val="006E2FBD"/>
    <w:pPr>
      <w:keepNext/>
      <w:widowControl/>
      <w:spacing w:before="360" w:after="120"/>
      <w:jc w:val="center"/>
    </w:pPr>
    <w:rPr>
      <w:rFonts w:eastAsiaTheme="minorHAnsi"/>
      <w:i/>
      <w:szCs w:val="22"/>
      <w:lang w:eastAsia="en-US"/>
    </w:rPr>
  </w:style>
  <w:style w:type="paragraph" w:styleId="Revision">
    <w:name w:val="Revision"/>
    <w:hidden/>
    <w:uiPriority w:val="99"/>
    <w:semiHidden/>
    <w:rsid w:val="00474E83"/>
    <w:rPr>
      <w:sz w:val="24"/>
      <w:lang w:val="ro-RO"/>
    </w:rPr>
  </w:style>
  <w:style w:type="paragraph" w:styleId="Footer">
    <w:name w:val="footer"/>
    <w:basedOn w:val="Normal"/>
    <w:link w:val="FooterChar"/>
    <w:rsid w:val="00474E83"/>
    <w:pPr>
      <w:tabs>
        <w:tab w:val="center" w:pos="4513"/>
        <w:tab w:val="right" w:pos="9026"/>
      </w:tabs>
    </w:pPr>
  </w:style>
  <w:style w:type="character" w:customStyle="1" w:styleId="FooterChar">
    <w:name w:val="Footer Char"/>
    <w:basedOn w:val="DefaultParagraphFont"/>
    <w:link w:val="Footer"/>
    <w:rsid w:val="00474E83"/>
    <w:rPr>
      <w:sz w:val="24"/>
      <w:lang w:val="ro-RO"/>
    </w:rPr>
  </w:style>
  <w:style w:type="character" w:styleId="UnresolvedMention">
    <w:name w:val="Unresolved Mention"/>
    <w:basedOn w:val="DefaultParagraphFont"/>
    <w:uiPriority w:val="99"/>
    <w:semiHidden/>
    <w:unhideWhenUsed/>
    <w:rsid w:val="004F2020"/>
    <w:rPr>
      <w:color w:val="605E5C"/>
      <w:shd w:val="clear" w:color="auto" w:fill="E1DFDD"/>
    </w:rPr>
  </w:style>
  <w:style w:type="character" w:customStyle="1" w:styleId="ATHeading3Char">
    <w:name w:val="AT Heading 3 Char"/>
    <w:link w:val="ATHeading3"/>
    <w:locked/>
    <w:rsid w:val="003670F0"/>
    <w:rPr>
      <w:b/>
      <w:sz w:val="24"/>
      <w:lang w:val="ro-RO"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765/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21/691/oj" TargetMode="External"/><Relationship Id="rId4" Type="http://schemas.openxmlformats.org/officeDocument/2006/relationships/hyperlink" Target="http://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1795</Words>
  <Characters>10730</Characters>
  <Application>Microsoft Office Word</Application>
  <DocSecurity>0</DocSecurity>
  <Lines>89</Lines>
  <Paragraphs>24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TEODORESCU-ILIE Camelia</dc:creator>
  <cp:keywords/>
  <cp:lastModifiedBy>TEODORESCU-ILIE Camelia</cp:lastModifiedBy>
  <cp:revision>2</cp:revision>
  <cp:lastPrinted>2004-11-19T15:42:00Z</cp:lastPrinted>
  <dcterms:created xsi:type="dcterms:W3CDTF">2026-05-21T10:26:00Z</dcterms:created>
  <dcterms:modified xsi:type="dcterms:W3CDTF">2026-05-21T10:26:00Z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P10_TA(2026)0102_</vt:lpwstr>
  </property>
  <property fmtid="{D5CDD505-2E9C-101B-9397-08002B2CF9AE}" pid="4" name="&lt;Type&gt;">
    <vt:lpwstr>RR</vt:lpwstr>
  </property>
</Properties>
</file>