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4F36" w14:paraId="19E1CE06" w14:textId="77777777" w:rsidTr="0010095E">
        <w:trPr>
          <w:trHeight w:hRule="exact" w:val="1418"/>
        </w:trPr>
        <w:tc>
          <w:tcPr>
            <w:tcW w:w="6804" w:type="dxa"/>
            <w:shd w:val="clear" w:color="auto" w:fill="auto"/>
            <w:vAlign w:val="center"/>
          </w:tcPr>
          <w:p w14:paraId="17E2102E" w14:textId="30119CD6" w:rsidR="00751A4A" w:rsidRPr="00024F36" w:rsidRDefault="00AF49BB" w:rsidP="0010095E">
            <w:pPr>
              <w:pStyle w:val="EPName"/>
            </w:pPr>
            <w:r w:rsidRPr="00024F36">
              <w:t>Evropski parlament</w:t>
            </w:r>
          </w:p>
          <w:p w14:paraId="56937227" w14:textId="77777777" w:rsidR="00751A4A" w:rsidRPr="00024F36" w:rsidRDefault="005F1B17" w:rsidP="005F1B17">
            <w:pPr>
              <w:pStyle w:val="EPTerm"/>
              <w:rPr>
                <w:rStyle w:val="HideTWBExt"/>
                <w:noProof w:val="0"/>
                <w:vanish w:val="0"/>
                <w:color w:val="auto"/>
              </w:rPr>
            </w:pPr>
            <w:r w:rsidRPr="00024F36">
              <w:t>2024</w:t>
            </w:r>
            <w:r w:rsidR="00817416" w:rsidRPr="00024F36">
              <w:t>-202</w:t>
            </w:r>
            <w:r w:rsidRPr="00024F36">
              <w:t>9</w:t>
            </w:r>
          </w:p>
        </w:tc>
        <w:tc>
          <w:tcPr>
            <w:tcW w:w="2268" w:type="dxa"/>
            <w:shd w:val="clear" w:color="auto" w:fill="auto"/>
          </w:tcPr>
          <w:p w14:paraId="718F19E8" w14:textId="77777777" w:rsidR="00751A4A" w:rsidRPr="00024F36" w:rsidRDefault="00187494" w:rsidP="0010095E">
            <w:pPr>
              <w:pStyle w:val="EPLogo"/>
            </w:pPr>
            <w:r w:rsidRPr="00024F36">
              <w:rPr>
                <w:noProof/>
                <w:lang w:eastAsia="ja-JP"/>
              </w:rPr>
              <w:drawing>
                <wp:inline distT="0" distB="0" distL="0" distR="0" wp14:anchorId="7B2CC8E1" wp14:editId="002356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A96FA9" w14:textId="77777777" w:rsidR="00D058B8" w:rsidRPr="00024F36" w:rsidRDefault="00D058B8" w:rsidP="004C5D52">
      <w:pPr>
        <w:pStyle w:val="LineTop"/>
      </w:pPr>
    </w:p>
    <w:p w14:paraId="2D2D51B4" w14:textId="44E07D20" w:rsidR="00680577" w:rsidRPr="00024F36" w:rsidRDefault="00AF49BB" w:rsidP="00680577">
      <w:pPr>
        <w:pStyle w:val="EPBodyTA1"/>
      </w:pPr>
      <w:r w:rsidRPr="00024F36">
        <w:t>SPREJETA BESEDILA</w:t>
      </w:r>
    </w:p>
    <w:p w14:paraId="3EA43FC8" w14:textId="77777777" w:rsidR="00D058B8" w:rsidRPr="00024F36" w:rsidRDefault="00D058B8" w:rsidP="00D058B8">
      <w:pPr>
        <w:pStyle w:val="LineBottom"/>
      </w:pPr>
    </w:p>
    <w:p w14:paraId="5E4D9851" w14:textId="1BB6BD35" w:rsidR="00AF49BB" w:rsidRPr="00024F36" w:rsidRDefault="00AF49BB" w:rsidP="00AF49BB">
      <w:pPr>
        <w:pStyle w:val="ATHeading1"/>
      </w:pPr>
      <w:bookmarkStart w:id="0" w:name="TANumber"/>
      <w:r w:rsidRPr="00024F36">
        <w:t>P10_TA(2026)</w:t>
      </w:r>
      <w:bookmarkEnd w:id="0"/>
      <w:r w:rsidR="00D01A50">
        <w:t>0</w:t>
      </w:r>
      <w:r w:rsidR="00724132">
        <w:t>102</w:t>
      </w:r>
    </w:p>
    <w:p w14:paraId="3C6B4C3A" w14:textId="77777777" w:rsidR="00AF49BB" w:rsidRPr="00024F36" w:rsidRDefault="00AF49BB" w:rsidP="00AF49BB">
      <w:pPr>
        <w:pStyle w:val="ATHeading2"/>
      </w:pPr>
      <w:bookmarkStart w:id="1" w:name="title"/>
      <w:r w:rsidRPr="00024F36">
        <w:t>Uporaba Evropskega sklada za prilagoditev globalizaciji za presežne delavce: vloga EGF/2025/007 BE/</w:t>
      </w:r>
      <w:proofErr w:type="spellStart"/>
      <w:r w:rsidRPr="00024F36">
        <w:t>Casa</w:t>
      </w:r>
      <w:proofErr w:type="spellEnd"/>
      <w:r w:rsidRPr="00024F36">
        <w:t xml:space="preserve"> – Belgija</w:t>
      </w:r>
      <w:bookmarkEnd w:id="1"/>
    </w:p>
    <w:p w14:paraId="369A9DC9" w14:textId="77777777" w:rsidR="00AF49BB" w:rsidRPr="00024F36" w:rsidRDefault="00AF49BB" w:rsidP="00AF49BB">
      <w:pPr>
        <w:rPr>
          <w:i/>
          <w:vanish/>
        </w:rPr>
      </w:pPr>
      <w:r w:rsidRPr="00024F36">
        <w:rPr>
          <w:i/>
        </w:rPr>
        <w:fldChar w:fldCharType="begin"/>
      </w:r>
      <w:r w:rsidRPr="00024F36">
        <w:rPr>
          <w:i/>
        </w:rPr>
        <w:instrText xml:space="preserve"> TC"(</w:instrText>
      </w:r>
      <w:bookmarkStart w:id="2" w:name="DocNumber"/>
      <w:r w:rsidRPr="00024F36">
        <w:rPr>
          <w:i/>
        </w:rPr>
        <w:instrText>A10-0061/2026</w:instrText>
      </w:r>
      <w:bookmarkEnd w:id="2"/>
      <w:r w:rsidRPr="00024F36">
        <w:rPr>
          <w:i/>
        </w:rPr>
        <w:instrText xml:space="preserve"> - Poročevalec: </w:instrText>
      </w:r>
      <w:proofErr w:type="spellStart"/>
      <w:r w:rsidRPr="00024F36">
        <w:rPr>
          <w:i/>
        </w:rPr>
        <w:instrText>Hélder</w:instrText>
      </w:r>
      <w:proofErr w:type="spellEnd"/>
      <w:r w:rsidRPr="00024F36">
        <w:rPr>
          <w:i/>
        </w:rPr>
        <w:instrText xml:space="preserve"> </w:instrText>
      </w:r>
      <w:proofErr w:type="spellStart"/>
      <w:r w:rsidRPr="00024F36">
        <w:rPr>
          <w:i/>
        </w:rPr>
        <w:instrText>Sousa</w:instrText>
      </w:r>
      <w:proofErr w:type="spellEnd"/>
      <w:r w:rsidRPr="00024F36">
        <w:rPr>
          <w:i/>
        </w:rPr>
        <w:instrText xml:space="preserve"> Silva)"\l3 \n&gt; \* MERGEFORMAT </w:instrText>
      </w:r>
      <w:r w:rsidRPr="00024F36">
        <w:rPr>
          <w:i/>
        </w:rPr>
        <w:fldChar w:fldCharType="end"/>
      </w:r>
    </w:p>
    <w:p w14:paraId="2B6092BE" w14:textId="77777777" w:rsidR="00AF49BB" w:rsidRPr="00024F36" w:rsidRDefault="00AF49BB" w:rsidP="00AF49BB">
      <w:pPr>
        <w:rPr>
          <w:vanish/>
        </w:rPr>
      </w:pPr>
      <w:bookmarkStart w:id="3" w:name="Commission"/>
      <w:r w:rsidRPr="00024F36">
        <w:rPr>
          <w:vanish/>
        </w:rPr>
        <w:t>Odbor za proračun</w:t>
      </w:r>
      <w:bookmarkEnd w:id="3"/>
    </w:p>
    <w:p w14:paraId="04C6AE36" w14:textId="77777777" w:rsidR="00AF49BB" w:rsidRPr="00024F36" w:rsidRDefault="00AF49BB" w:rsidP="00AF49BB">
      <w:pPr>
        <w:rPr>
          <w:vanish/>
        </w:rPr>
      </w:pPr>
      <w:bookmarkStart w:id="4" w:name="PE"/>
      <w:r w:rsidRPr="00024F36">
        <w:rPr>
          <w:vanish/>
        </w:rPr>
        <w:t>PE784.477</w:t>
      </w:r>
      <w:bookmarkEnd w:id="4"/>
    </w:p>
    <w:p w14:paraId="66EBE742" w14:textId="5A14E6FA" w:rsidR="00AF49BB" w:rsidRPr="00024F36" w:rsidRDefault="00AF49BB" w:rsidP="00AF49BB">
      <w:pPr>
        <w:pStyle w:val="ATHeading3"/>
      </w:pPr>
      <w:bookmarkStart w:id="5" w:name="Sujet"/>
      <w:r w:rsidRPr="00024F36">
        <w:t xml:space="preserve">Resolucija Evropskega parlamenta z dne </w:t>
      </w:r>
      <w:r w:rsidR="003708A0">
        <w:t>26. marca</w:t>
      </w:r>
      <w:r w:rsidRPr="00024F36">
        <w:t xml:space="preserve"> 2026 o predlogu sklepa Evropskega parlamenta in Sveta o uporabi Evropskega sklada za prilagoditev globalizaciji za presežne delavce na podlagi vloge Belgije – EGF/2025/007 BE/</w:t>
      </w:r>
      <w:proofErr w:type="spellStart"/>
      <w:r w:rsidRPr="00024F36">
        <w:t>Casa</w:t>
      </w:r>
      <w:bookmarkEnd w:id="5"/>
      <w:proofErr w:type="spellEnd"/>
      <w:r w:rsidRPr="00024F36">
        <w:t xml:space="preserve"> </w:t>
      </w:r>
      <w:bookmarkStart w:id="6" w:name="References"/>
      <w:r w:rsidRPr="00024F36">
        <w:t>(COM(2026)0003 – C10-0025/2026 – 2026/0038(BUD))</w:t>
      </w:r>
      <w:bookmarkEnd w:id="6"/>
    </w:p>
    <w:p w14:paraId="5C10E8FB" w14:textId="77777777" w:rsidR="001C5609" w:rsidRPr="00024F36" w:rsidRDefault="001C5609" w:rsidP="001C5609">
      <w:pPr>
        <w:pStyle w:val="EPComma"/>
        <w:rPr>
          <w:noProof/>
        </w:rPr>
      </w:pPr>
      <w:r w:rsidRPr="00024F36">
        <w:rPr>
          <w:i/>
        </w:rPr>
        <w:t>Evropski parlament</w:t>
      </w:r>
      <w:r w:rsidRPr="00024F36">
        <w:t>,</w:t>
      </w:r>
    </w:p>
    <w:p w14:paraId="0FC6D488" w14:textId="77777777" w:rsidR="001C5609" w:rsidRPr="00024F36" w:rsidRDefault="001C5609" w:rsidP="001C5609">
      <w:pPr>
        <w:pStyle w:val="NormalHanging12a"/>
        <w:rPr>
          <w:noProof/>
        </w:rPr>
      </w:pPr>
      <w:r w:rsidRPr="00024F36">
        <w:t>–</w:t>
      </w:r>
      <w:r w:rsidRPr="00024F36">
        <w:tab/>
        <w:t>ob upoštevanju predloga Komisije Evropskemu parlamentu in Svetu (COM(2026)0003 – C10-0025/2026),</w:t>
      </w:r>
    </w:p>
    <w:p w14:paraId="59D415BC" w14:textId="77777777" w:rsidR="001C5609" w:rsidRPr="00024F36" w:rsidRDefault="001C5609" w:rsidP="001C5609">
      <w:pPr>
        <w:pStyle w:val="NormalHanging12a"/>
      </w:pPr>
      <w:r w:rsidRPr="00024F36">
        <w:t>–</w:t>
      </w:r>
      <w:r w:rsidRPr="00024F36">
        <w:tab/>
        <w:t>ob upoštevanju Uredbe (EU) 2021/691 Evropskega parlamenta in Sveta z dne 28. aprila 2021 o Evropskem skladu za prilagoditev globalizaciji za presežne delavce (ESPG) in razveljavitvi Uredbe (EU) št. 1309/2013</w:t>
      </w:r>
      <w:r w:rsidRPr="00024F36">
        <w:rPr>
          <w:vertAlign w:val="superscript"/>
        </w:rPr>
        <w:footnoteReference w:id="1"/>
      </w:r>
      <w:r w:rsidRPr="00024F36">
        <w:t xml:space="preserve"> (</w:t>
      </w:r>
      <w:bookmarkStart w:id="7" w:name="_Hlk224895724"/>
      <w:r w:rsidRPr="00024F36">
        <w:t xml:space="preserve">v nadaljnjem besedilu: </w:t>
      </w:r>
      <w:bookmarkEnd w:id="7"/>
      <w:r w:rsidRPr="00024F36">
        <w:t xml:space="preserve">uredba o ESPG), </w:t>
      </w:r>
    </w:p>
    <w:p w14:paraId="3852AD35" w14:textId="57BC9BE3" w:rsidR="001C5609" w:rsidRPr="00024F36" w:rsidRDefault="001C5609" w:rsidP="001C5609">
      <w:pPr>
        <w:pStyle w:val="NormalHanging12a"/>
        <w:rPr>
          <w:noProof/>
        </w:rPr>
      </w:pPr>
      <w:r w:rsidRPr="00024F36">
        <w:t>–</w:t>
      </w:r>
      <w:r w:rsidRPr="00024F36">
        <w:tab/>
        <w:t>ob upoštevanju Uredbe Sveta (EU, Euratom) 2020/2093 z dne 17. decembra 2020 o določitvi večletnega finančnega okvira za obdobje 2021–2027</w:t>
      </w:r>
      <w:r w:rsidRPr="00024F36">
        <w:rPr>
          <w:noProof/>
          <w:vertAlign w:val="superscript"/>
        </w:rPr>
        <w:footnoteReference w:id="2"/>
      </w:r>
      <w:r w:rsidRPr="00024F36">
        <w:t>, kot je bila spremenjena z Uredbo (EU, Euratom) 2024/765</w:t>
      </w:r>
      <w:r w:rsidRPr="00024F36">
        <w:rPr>
          <w:noProof/>
          <w:vertAlign w:val="superscript"/>
        </w:rPr>
        <w:footnoteReference w:id="3"/>
      </w:r>
      <w:r w:rsidRPr="00024F36">
        <w:t xml:space="preserve"> (v nadaljnjem besedilu: uredba o večletnem finančnem okviru), </w:t>
      </w:r>
      <w:r w:rsidR="007002ED" w:rsidRPr="00894B16">
        <w:t xml:space="preserve">in </w:t>
      </w:r>
      <w:r w:rsidRPr="0042604D">
        <w:t>zlasti člena 8,</w:t>
      </w:r>
      <w:r w:rsidRPr="00024F36">
        <w:t xml:space="preserve"> </w:t>
      </w:r>
    </w:p>
    <w:p w14:paraId="56CB90E9" w14:textId="79B52BBA" w:rsidR="001C5609" w:rsidRPr="00024F36" w:rsidRDefault="001C5609" w:rsidP="001C5609">
      <w:pPr>
        <w:pStyle w:val="NormalHanging12a"/>
        <w:rPr>
          <w:noProof/>
        </w:rPr>
      </w:pPr>
      <w:r w:rsidRPr="00024F36">
        <w:t>–</w:t>
      </w:r>
      <w:r w:rsidRPr="00024F36">
        <w:tab/>
        <w:t xml:space="preserve">ob upoštevanju Medinstitucionalnega sporazuma z dne 16. decembra 2020 med Evropskim parlamentom, Svetom Evropske unije in Evropsko komisijo o proračunski disciplini, sodelovanju v proračunskih zadevah in dobrem finančnem </w:t>
      </w:r>
      <w:proofErr w:type="spellStart"/>
      <w:r w:rsidRPr="00024F36">
        <w:t>poslovodenju</w:t>
      </w:r>
      <w:proofErr w:type="spellEnd"/>
      <w:r w:rsidRPr="00024F36">
        <w:t xml:space="preserve"> ter novih virih lastnih sredstev, vključno s časovnim načrtom za uvedbo novih virov lastnih </w:t>
      </w:r>
      <w:r w:rsidRPr="00024F36">
        <w:lastRenderedPageBreak/>
        <w:t>sredstev</w:t>
      </w:r>
      <w:r w:rsidRPr="00024F36">
        <w:rPr>
          <w:rStyle w:val="FootnoteReference"/>
          <w:noProof/>
        </w:rPr>
        <w:footnoteReference w:id="4"/>
      </w:r>
      <w:r w:rsidRPr="00024F36">
        <w:t xml:space="preserve">, </w:t>
      </w:r>
      <w:r w:rsidR="007002ED">
        <w:t>ter</w:t>
      </w:r>
      <w:r w:rsidR="007002ED" w:rsidRPr="00024F36">
        <w:t xml:space="preserve"> </w:t>
      </w:r>
      <w:r w:rsidRPr="00024F36">
        <w:t>zlasti točke 9 sporazuma,</w:t>
      </w:r>
    </w:p>
    <w:p w14:paraId="5A831F7F" w14:textId="77777777" w:rsidR="001C5609" w:rsidRPr="00024F36" w:rsidRDefault="001C5609" w:rsidP="001C5609">
      <w:pPr>
        <w:pStyle w:val="NormalHanging12a"/>
      </w:pPr>
      <w:r w:rsidRPr="00024F36">
        <w:t>–</w:t>
      </w:r>
      <w:r w:rsidRPr="00024F36">
        <w:tab/>
        <w:t>ob upoštevanju evropskega stebra socialnih pravic,</w:t>
      </w:r>
    </w:p>
    <w:p w14:paraId="735C37B4" w14:textId="77777777" w:rsidR="001C5609" w:rsidRPr="00024F36" w:rsidRDefault="001C5609" w:rsidP="001C5609">
      <w:pPr>
        <w:pStyle w:val="NormalHanging12a"/>
      </w:pPr>
      <w:r w:rsidRPr="00024F36">
        <w:t>–</w:t>
      </w:r>
      <w:r w:rsidRPr="00024F36">
        <w:tab/>
        <w:t>ob upoštevanju pisma Odbora za zaposlovanje in socialne zadeve,</w:t>
      </w:r>
    </w:p>
    <w:p w14:paraId="33D1FC29" w14:textId="77777777" w:rsidR="001C5609" w:rsidRPr="00024F36" w:rsidRDefault="001C5609" w:rsidP="001C5609">
      <w:pPr>
        <w:pStyle w:val="NormalHanging12a"/>
      </w:pPr>
      <w:r w:rsidRPr="00024F36">
        <w:t>–</w:t>
      </w:r>
      <w:r w:rsidRPr="00024F36">
        <w:tab/>
        <w:t>ob upoštevanju poročila Odbora za proračun (A10-0061/2026),</w:t>
      </w:r>
    </w:p>
    <w:p w14:paraId="19C38FD5" w14:textId="77777777" w:rsidR="001C5609" w:rsidRPr="00024F36" w:rsidRDefault="001C5609" w:rsidP="001C5609">
      <w:pPr>
        <w:pStyle w:val="NormalHanging12a"/>
        <w:rPr>
          <w:noProof/>
        </w:rPr>
      </w:pPr>
      <w:r w:rsidRPr="00024F36">
        <w:t>A.</w:t>
      </w:r>
      <w:r w:rsidRPr="00024F36">
        <w:tab/>
        <w:t>ker je Unija vzpostavila zakonodajne in proračunske instrumente za zagotavljanje dodatne podpore delavcem, ki so jih prizadele posledice velikih strukturnih dogodkov in sprememb v svetovnih trgovinskih tokovih, ter za pomoč pri njihovi ponovni vključitvi na trg dela; ker se ta pomoč zagotovi prek finančne podpore delavcem;</w:t>
      </w:r>
    </w:p>
    <w:p w14:paraId="7E71972C" w14:textId="76C72CB4" w:rsidR="001C5609" w:rsidRPr="00024F36" w:rsidRDefault="001C5609" w:rsidP="001C5609">
      <w:pPr>
        <w:pStyle w:val="NormalHanging12a"/>
      </w:pPr>
      <w:r w:rsidRPr="00024F36">
        <w:t>B.</w:t>
      </w:r>
      <w:r w:rsidRPr="00024F36">
        <w:tab/>
        <w:t>ker je Belgija vložila vlogo EGF/2025/007 BE/</w:t>
      </w:r>
      <w:proofErr w:type="spellStart"/>
      <w:r w:rsidRPr="00024F36">
        <w:t>Casa</w:t>
      </w:r>
      <w:proofErr w:type="spellEnd"/>
      <w:r w:rsidRPr="00024F36">
        <w:t xml:space="preserve"> za finančni prispevek iz </w:t>
      </w:r>
      <w:r w:rsidR="007002ED" w:rsidRPr="00624062">
        <w:t xml:space="preserve">Evropskega sklada za prilagoditev globalizaciji </w:t>
      </w:r>
      <w:r w:rsidR="007002ED">
        <w:t>za presežne delavce (</w:t>
      </w:r>
      <w:r w:rsidRPr="00024F36">
        <w:t>ESPG</w:t>
      </w:r>
      <w:r w:rsidR="007002ED">
        <w:t>)</w:t>
      </w:r>
      <w:r w:rsidRPr="00024F36">
        <w:t xml:space="preserve"> zaradi odpustitve 416 presežnih delavcev</w:t>
      </w:r>
      <w:r w:rsidRPr="00024F36">
        <w:rPr>
          <w:vertAlign w:val="superscript"/>
        </w:rPr>
        <w:footnoteReference w:id="5"/>
      </w:r>
      <w:r w:rsidRPr="00024F36">
        <w:t xml:space="preserve"> v podjetju </w:t>
      </w:r>
      <w:proofErr w:type="spellStart"/>
      <w:r w:rsidRPr="00024F36">
        <w:t>Casa</w:t>
      </w:r>
      <w:proofErr w:type="spellEnd"/>
      <w:r w:rsidRPr="00024F36">
        <w:t xml:space="preserve"> </w:t>
      </w:r>
      <w:proofErr w:type="spellStart"/>
      <w:r w:rsidRPr="00024F36">
        <w:t>International</w:t>
      </w:r>
      <w:proofErr w:type="spellEnd"/>
      <w:r w:rsidRPr="00024F36">
        <w:t xml:space="preserve"> NV (</w:t>
      </w:r>
      <w:proofErr w:type="spellStart"/>
      <w:r w:rsidRPr="00024F36">
        <w:t>Casa</w:t>
      </w:r>
      <w:proofErr w:type="spellEnd"/>
      <w:r w:rsidRPr="00024F36">
        <w:t xml:space="preserve">) v Belgiji v gospodarskih sektorjih, razvrščenih v oddelek 47 NACE Revizija 2 (Trgovina na drobno, razen z motornimi vozili) in oddelek 52 (Skladiščenje in spremljajoče prometne dejavnosti) v provinci Antwerpen (BE21) v Flandriji, v referenčnem obdobju od 6. marca 2025 do 6. julija 2025; </w:t>
      </w:r>
    </w:p>
    <w:p w14:paraId="66C1670C" w14:textId="77777777" w:rsidR="001C5609" w:rsidRPr="00024F36" w:rsidRDefault="001C5609" w:rsidP="001C5609">
      <w:pPr>
        <w:pStyle w:val="NormalHanging12a"/>
      </w:pPr>
      <w:r w:rsidRPr="00024F36">
        <w:t>C.</w:t>
      </w:r>
      <w:r w:rsidRPr="00024F36">
        <w:tab/>
        <w:t xml:space="preserve">ker vloga temelji na merilu za pomoč iz člena 4(2), točka (a), uredbe o ESPG; ker je 257 delavcev presežnih v podjetju </w:t>
      </w:r>
      <w:proofErr w:type="spellStart"/>
      <w:r w:rsidRPr="00024F36">
        <w:t>Casa</w:t>
      </w:r>
      <w:proofErr w:type="spellEnd"/>
      <w:r w:rsidRPr="00024F36">
        <w:t xml:space="preserve"> </w:t>
      </w:r>
      <w:proofErr w:type="spellStart"/>
      <w:r w:rsidRPr="00024F36">
        <w:t>International</w:t>
      </w:r>
      <w:proofErr w:type="spellEnd"/>
      <w:r w:rsidRPr="00024F36">
        <w:t xml:space="preserve"> NV (trgovina na drobno), ki ima 65 maloprodajnih mest po vsej Belgiji, 159 delavcev pa je presežnih v podjetju </w:t>
      </w:r>
      <w:proofErr w:type="spellStart"/>
      <w:r w:rsidRPr="00024F36">
        <w:t>Casa</w:t>
      </w:r>
      <w:proofErr w:type="spellEnd"/>
      <w:r w:rsidRPr="00024F36">
        <w:t xml:space="preserve"> </w:t>
      </w:r>
      <w:proofErr w:type="spellStart"/>
      <w:r w:rsidRPr="00024F36">
        <w:t>Logistics</w:t>
      </w:r>
      <w:proofErr w:type="spellEnd"/>
      <w:r w:rsidRPr="00024F36">
        <w:t xml:space="preserve"> NV (skladiščenje), ki je odgovorno za skladiščenje in distribucijo do teh prodajnih mest; </w:t>
      </w:r>
    </w:p>
    <w:p w14:paraId="249B1F23" w14:textId="77777777" w:rsidR="001C5609" w:rsidRPr="00024F36" w:rsidRDefault="001C5609" w:rsidP="001C5609">
      <w:pPr>
        <w:pStyle w:val="NormalHanging12a"/>
        <w:rPr>
          <w:noProof/>
        </w:rPr>
      </w:pPr>
      <w:r w:rsidRPr="00024F36">
        <w:t>D.</w:t>
      </w:r>
      <w:r w:rsidRPr="00024F36">
        <w:tab/>
        <w:t xml:space="preserve">ker je podjetje </w:t>
      </w:r>
      <w:proofErr w:type="spellStart"/>
      <w:r w:rsidRPr="00024F36">
        <w:t>Casa</w:t>
      </w:r>
      <w:proofErr w:type="spellEnd"/>
      <w:r w:rsidRPr="00024F36">
        <w:t xml:space="preserve"> prijavilo stečaj 6. marca 2025; ker se v Belgiji število stečajev od leta 2022 povečuje, zlasti v maloprodajnem sektorju, ki doživlja korenito strukturno preobrazbo zaradi porasta e-trgovanja in spreminjajočih se potrošniških navad; ker je v tem primeru 67,5 % zadevne delovne sile žensk; zato poudarja, da bi bilo treba pri podpornih ukrepih v okviru ESPG upoštevati posebne potrebe in ovire, s katerimi se soočajo ženske pri ponovnem vstopu na trg dela;</w:t>
      </w:r>
    </w:p>
    <w:p w14:paraId="6E064B24" w14:textId="77777777" w:rsidR="001C5609" w:rsidRPr="00024F36" w:rsidRDefault="001C5609" w:rsidP="001C5609">
      <w:pPr>
        <w:pStyle w:val="NormalHanging12a"/>
      </w:pPr>
      <w:r w:rsidRPr="00024F36">
        <w:t>E.</w:t>
      </w:r>
      <w:r w:rsidRPr="00024F36">
        <w:tab/>
        <w:t>ker služba VDAB zagotavlja nacionalno predhodno financiranje in sofinanciranje ukrepov;</w:t>
      </w:r>
    </w:p>
    <w:p w14:paraId="027DA496" w14:textId="77777777" w:rsidR="001C5609" w:rsidRPr="00024F36" w:rsidRDefault="001C5609" w:rsidP="001C5609">
      <w:pPr>
        <w:pStyle w:val="NormalHanging12a"/>
      </w:pPr>
      <w:r w:rsidRPr="00024F36">
        <w:t>F.</w:t>
      </w:r>
      <w:r w:rsidRPr="00024F36">
        <w:tab/>
        <w:t>ker zadevna podjetja izpolnjujejo zahteve iz zakonodaje Unije in nacionalne zakonodaje o kolektivnem odpuščanju;</w:t>
      </w:r>
    </w:p>
    <w:p w14:paraId="291FAF63" w14:textId="77777777" w:rsidR="001C5609" w:rsidRPr="00024F36" w:rsidRDefault="001C5609" w:rsidP="001C5609">
      <w:pPr>
        <w:pStyle w:val="NormalHanging12a"/>
      </w:pPr>
      <w:r w:rsidRPr="00024F36">
        <w:t>G.</w:t>
      </w:r>
      <w:r w:rsidRPr="00024F36">
        <w:tab/>
        <w:t>ker bi morali biti finančni prispevki iz ESPG usmerjeni predvsem v aktivne ukrepe politike trga dela in prilagojene storitve, katerih cilj je hitra ponovna vključitev upravičencev na trg dela, hkrati pa se jim ponudi usposabljanje za njihov lažji dostop do trga dela;</w:t>
      </w:r>
    </w:p>
    <w:p w14:paraId="3F9838D7" w14:textId="77777777" w:rsidR="001C5609" w:rsidRPr="00024F36" w:rsidRDefault="001C5609" w:rsidP="001C5609">
      <w:pPr>
        <w:pStyle w:val="NormalHanging12a"/>
      </w:pPr>
      <w:r w:rsidRPr="00024F36">
        <w:t>H.</w:t>
      </w:r>
      <w:r w:rsidRPr="00024F36">
        <w:tab/>
        <w:t xml:space="preserve">ker sredstva ESPG ne presegajo najvišjega letnega zneska 30 milijonov EUR (v cenah </w:t>
      </w:r>
      <w:r w:rsidRPr="00024F36">
        <w:lastRenderedPageBreak/>
        <w:t>iz leta 2018)</w:t>
      </w:r>
      <w:r w:rsidRPr="00024F36">
        <w:rPr>
          <w:rStyle w:val="FootnoteReference"/>
        </w:rPr>
        <w:footnoteReference w:id="6"/>
      </w:r>
      <w:r w:rsidRPr="00024F36">
        <w:t xml:space="preserve">; </w:t>
      </w:r>
    </w:p>
    <w:p w14:paraId="4DC972B6" w14:textId="77777777" w:rsidR="001C5609" w:rsidRPr="00024F36" w:rsidRDefault="001C5609" w:rsidP="001C5609">
      <w:pPr>
        <w:pStyle w:val="NormalHanging12a"/>
      </w:pPr>
      <w:r w:rsidRPr="00024F36">
        <w:t>1.</w:t>
      </w:r>
      <w:r w:rsidRPr="00024F36">
        <w:tab/>
        <w:t>se strinja s Komisijo, da so pogoji iz uredbe o ESPG, zlasti člena 4(2), točka (a), izpolnjeni in da je Belgija na podlagi te uredbe upravičena do finančnega prispevka v znesku 1 916 733, kar je 85 % skupnih stroškov v znesku 2 254 980 EUR, od česar stroški prilagojenih storitev znašajo 2 168 980 EUR, stroški priprave, upravljanja, informiranja in obveščanja javnosti ter nadzora in poročanja pa 86 000 EUR;</w:t>
      </w:r>
    </w:p>
    <w:p w14:paraId="44428B74" w14:textId="77777777" w:rsidR="001C5609" w:rsidRPr="00024F36" w:rsidRDefault="001C5609" w:rsidP="001C5609">
      <w:pPr>
        <w:pStyle w:val="NormalHanging12a"/>
      </w:pPr>
      <w:r w:rsidRPr="00024F36">
        <w:t>2.</w:t>
      </w:r>
      <w:r w:rsidRPr="00024F36">
        <w:tab/>
        <w:t>ugotavlja, da so belgijski organi vlogo predložili 23. septembra 2025, Komisija pa je na osnovi dodatnih informacij, ki jih je posredovala Belgija, oceno te vloge dokončala 6. februarja 2026 in jo posredovala Parlamentu 11. februarja 2026; poudarja, da je pomembno skrajšati čas med predložitvijo vloge za pomoč iz ESPG in sklepom o financiranju, hkrati pa v celoti zaščititi pravice Evropskega parlamenta kot veje proračunskega organa;</w:t>
      </w:r>
    </w:p>
    <w:p w14:paraId="47ECCB17" w14:textId="77777777" w:rsidR="001C5609" w:rsidRPr="00024F36" w:rsidRDefault="001C5609" w:rsidP="001C5609">
      <w:pPr>
        <w:pStyle w:val="NormalHanging12a"/>
      </w:pPr>
      <w:r w:rsidRPr="00024F36">
        <w:t>3.</w:t>
      </w:r>
      <w:r w:rsidRPr="00024F36">
        <w:tab/>
        <w:t xml:space="preserve">ugotavlja, da se vloga nanaša na delavce, ki so prenehali opravljati dejavnost v dveh podjetjih konzorcija </w:t>
      </w:r>
      <w:proofErr w:type="spellStart"/>
      <w:r w:rsidRPr="00024F36">
        <w:t>Casa</w:t>
      </w:r>
      <w:proofErr w:type="spellEnd"/>
      <w:r w:rsidRPr="00024F36">
        <w:t xml:space="preserve"> in da bodo vsi ciljni upravičenci;</w:t>
      </w:r>
    </w:p>
    <w:p w14:paraId="6238050C" w14:textId="77777777" w:rsidR="001C5609" w:rsidRPr="00024F36" w:rsidRDefault="001C5609" w:rsidP="001C5609">
      <w:pPr>
        <w:pStyle w:val="NormalHanging12a"/>
      </w:pPr>
      <w:r w:rsidRPr="00024F36">
        <w:t>4.</w:t>
      </w:r>
      <w:r w:rsidRPr="00024F36">
        <w:tab/>
        <w:t xml:space="preserve">ugotavlja, da je imel konzorcij </w:t>
      </w:r>
      <w:proofErr w:type="spellStart"/>
      <w:r w:rsidRPr="00024F36">
        <w:t>Casa</w:t>
      </w:r>
      <w:proofErr w:type="spellEnd"/>
      <w:r w:rsidRPr="00024F36">
        <w:t xml:space="preserve"> finančne težave že več let pred razglasitvijo stečaja, ki so bile posledica vse večje razširjenosti e-trgovanja, povečane mednarodne konkurence in nepoštenih konkurenčnih pogojev, kar se je na koncu odrazilo v izrazitem pomanjkanju likvidnosti in nezmožnosti, da bi se opredelili potencialni kupci za podjetje; poudarja, da je treba okrepiti zmogljivost poslovnega upravljanja za preprečevanje odpuščanj s prilagajanjem sedanjim geopolitičnim razmeram in proaktivno obvladovati velika prestrukturiranja;</w:t>
      </w:r>
    </w:p>
    <w:p w14:paraId="1A269971" w14:textId="77777777" w:rsidR="001C5609" w:rsidRPr="00024F36" w:rsidRDefault="001C5609" w:rsidP="001C5609">
      <w:pPr>
        <w:pStyle w:val="NormalHanging12a"/>
        <w:rPr>
          <w:noProof/>
        </w:rPr>
      </w:pPr>
      <w:r w:rsidRPr="00024F36">
        <w:t>5.</w:t>
      </w:r>
      <w:r w:rsidRPr="00024F36">
        <w:tab/>
        <w:t xml:space="preserve">ugotavlja, da medtem ko imajo presežni prodajni pomočniki najugodnejše zaposlitvene možnosti, se skladiščni delavci soočajo z večjimi težavami pri iskanju nove zaposlitve in potrebujejo dodatno podporo, in sicer z izpopolnjevanjem, </w:t>
      </w:r>
      <w:proofErr w:type="spellStart"/>
      <w:r w:rsidRPr="00024F36">
        <w:t>preusposabljanjem</w:t>
      </w:r>
      <w:proofErr w:type="spellEnd"/>
      <w:r w:rsidRPr="00024F36">
        <w:t>, selitvijo ali prerazporejanjem; poziva belgijske organe, naj zagotovijo posebno prilagojeno podporo, da bi delavcem pomagali odpraviti pomanjkljivosti in poiskati novo zaposlitev, ki bo usklajena s potrebami na trgu dela; poudarja, da je ponovno vključevanje odpuščenih delavcev ključno za evropsko gospodarstvo, ki bo kos izzivom prihodnosti in bo imelo močno industrijsko bazo;</w:t>
      </w:r>
    </w:p>
    <w:p w14:paraId="55D95619" w14:textId="77777777" w:rsidR="001C5609" w:rsidRPr="00024F36" w:rsidRDefault="001C5609" w:rsidP="001C5609">
      <w:pPr>
        <w:pStyle w:val="NormalHanging12a"/>
      </w:pPr>
      <w:r w:rsidRPr="00024F36">
        <w:t>6.</w:t>
      </w:r>
      <w:r w:rsidRPr="00024F36">
        <w:tab/>
        <w:t xml:space="preserve">obžaluje, da je porast stečajev v zadnjih dveh letih negativno vplival na stopnjo zaposlenosti v nekaterih belgijskih regijah, zlasti v Bruslju in </w:t>
      </w:r>
      <w:proofErr w:type="spellStart"/>
      <w:r w:rsidRPr="00024F36">
        <w:t>Olenu</w:t>
      </w:r>
      <w:proofErr w:type="spellEnd"/>
      <w:r w:rsidRPr="00024F36">
        <w:t xml:space="preserve"> (provinca Antwerpen); ugotavlja, da je bilo v Belgiji v 18 mesecih zaradi stečajev izgubljenih približno 45 000 delovnih mest, večinoma v Flandriji; poudarja, da je v Flandriji tveganje brezposelnosti več kot dvakrat višje pri ljudeh z nizko stopnjo izobrazbe; poudarja, kako pomembno je podjetjem zagotoviti prijazno okolje, ki jim omogoča, da ostanejo konkurenčna, ustvarjajo delovna mesta in prispevajo k trajnostni gospodarski rasti.</w:t>
      </w:r>
    </w:p>
    <w:p w14:paraId="0DC8D2F4" w14:textId="77777777" w:rsidR="001C5609" w:rsidRPr="00024F36" w:rsidRDefault="001C5609" w:rsidP="001C5609">
      <w:pPr>
        <w:pStyle w:val="NormalHanging12a"/>
      </w:pPr>
      <w:r w:rsidRPr="00024F36">
        <w:t>7.</w:t>
      </w:r>
      <w:r w:rsidRPr="00024F36">
        <w:tab/>
        <w:t xml:space="preserve">opozarja, da v dogovoru s strokovnjaki in socialnimi partnerji prilagojene storitve, ki bodo zagotovljene delavcem, vključujejo naslednje ukrepe: informativna srečanja za usmerjanje pri ponovnem vključevanju na trg dela; storitve iskanja nadomestne zaposlitve za usmerjanje delavcev pri iskanju zaposlitve; aktivna mediacija s poudarkom na profilu vsakega iskalca zaposlitve; prilagojeni programi za razvoj znanj </w:t>
      </w:r>
      <w:r w:rsidRPr="00024F36">
        <w:lastRenderedPageBreak/>
        <w:t xml:space="preserve">in spretnosti, vključno z znanji in spretnostmi na področju informacijske tehnologije; usposabljanje in </w:t>
      </w:r>
      <w:proofErr w:type="spellStart"/>
      <w:r w:rsidRPr="00024F36">
        <w:t>preusposabljanje</w:t>
      </w:r>
      <w:proofErr w:type="spellEnd"/>
      <w:r w:rsidRPr="00024F36">
        <w:t xml:space="preserve">; individualno usposabljanje na delovnem mestu; udeležba na zaposlitvenem sejmu; poudarja, kako pomembno je spodbujati visokokakovostna in v prihodnost usmerjena delovna mesta, ki krepijo konkurenčnost in podpirajo digitalno preobrazbo, hkrati pa zagotavljati, da se ESPG ustrezno izvaja in prispeva k dolgoročni gospodarski in socialni odpornosti Unije; poudarja, da bi morali biti socialni partnerji vključeni v celotno izvajanje ukrepov ESPG, vključno s fazo spremljanja, da bi zagotovili kakovost in ustreznost podpore, ki je na voljo upravičencem; </w:t>
      </w:r>
    </w:p>
    <w:p w14:paraId="6C519442" w14:textId="77777777" w:rsidR="001C5609" w:rsidRPr="00024F36" w:rsidRDefault="001C5609" w:rsidP="001C5609">
      <w:pPr>
        <w:pStyle w:val="NormalHanging12a"/>
      </w:pPr>
      <w:r w:rsidRPr="00024F36">
        <w:t>8.</w:t>
      </w:r>
      <w:r w:rsidRPr="00024F36">
        <w:tab/>
        <w:t>opozarja, da je ESPG instrument solidarnosti in pravičnega prehoda ter da kljub temu, da zagotavlja podporo po izgubi delovnih mest, ne more nadomestiti proaktivne industrijske politike; meni, da je treba mobilizacijo sredstev ESPG vključiti v širši politični odziv na vseh političnih ravneh, da bi prizadetim delavcem zagotovili ustrezne priložnosti v skladu z njihovimi kvalifikacijami ter znanji in spretnostmi; poudarja, da mora biti glavna naloga Unije preprečiti takšna zapiranja, in sicer predvsem z ustvarjanjem pogojev, da bi industrijska proizvodnja ostala konkurenčna, hkrati pa vlagati v znanja in spretnosti visokokvalificiranih in industrijskih delavcev; poudarja, da je treba zagotoviti posebno podporo, prilagojeno profilom delavcev z nizko stopnjo izobrazbe, hkrati pa sprejeti ukrepe za zmanjšanje stečajev in odpravo socialnih razlik, ki vodijo do izključitve iz delovne sile;</w:t>
      </w:r>
    </w:p>
    <w:p w14:paraId="10B19BF8" w14:textId="77777777" w:rsidR="001C5609" w:rsidRPr="00024F36" w:rsidRDefault="001C5609" w:rsidP="001C5609">
      <w:pPr>
        <w:pStyle w:val="NormalHanging12a"/>
        <w:rPr>
          <w:bCs/>
          <w:iCs/>
        </w:rPr>
      </w:pPr>
      <w:r w:rsidRPr="00024F36">
        <w:t>9.</w:t>
      </w:r>
      <w:r w:rsidRPr="00024F36">
        <w:tab/>
        <w:t>poudarja, da morajo belgijski organi zagotoviti prepoznavnost financiranja Unije in njegovo dodano vrednost, tako da upravičencem, regionalnim in lokalnim organom, socialnim partnerjem in širši javnosti zagotovijo učinkovite in ciljno usmerjene informacije;</w:t>
      </w:r>
    </w:p>
    <w:p w14:paraId="08B93377" w14:textId="77777777" w:rsidR="001C5609" w:rsidRPr="00024F36" w:rsidRDefault="001C5609" w:rsidP="001C5609">
      <w:pPr>
        <w:pStyle w:val="NormalHanging12a"/>
      </w:pPr>
      <w:r w:rsidRPr="00024F36">
        <w:t>10.</w:t>
      </w:r>
      <w:r w:rsidRPr="00024F36">
        <w:tab/>
        <w:t>poziva k temeljiti končni oceni izvedenih ukrepov, vključno z jasnimi informacijami o tem, kako so bila sredstva porabljena, o uspehu ponovne vključitve delavcev na trg dela in o tem, ali so ukrepi dosegli cilje, zaradi katerih je bil ESPG ustanovljen;</w:t>
      </w:r>
    </w:p>
    <w:p w14:paraId="43F822D0" w14:textId="77777777" w:rsidR="001C5609" w:rsidRPr="00024F36" w:rsidRDefault="001C5609" w:rsidP="001C5609">
      <w:pPr>
        <w:pStyle w:val="NormalHanging12a"/>
      </w:pPr>
      <w:r w:rsidRPr="00024F36">
        <w:t>11.</w:t>
      </w:r>
      <w:r w:rsidRPr="00024F36">
        <w:tab/>
        <w:t>ugotavlja, da je Belgija prilagojene storitve za ciljne upravičence začela izvajati 14. marca 2025 in da je torej obdobje upravičenosti do finančnega prispevka iz ESPG začelo teči istega dne in se bo končalo 24 mesecev po začetku veljavnosti sklepa o financiranju;</w:t>
      </w:r>
    </w:p>
    <w:p w14:paraId="215C6373" w14:textId="77777777" w:rsidR="001C5609" w:rsidRPr="00024F36" w:rsidRDefault="001C5609" w:rsidP="001C5609">
      <w:pPr>
        <w:pStyle w:val="NormalHanging12a"/>
        <w:rPr>
          <w:sz w:val="23"/>
          <w:szCs w:val="23"/>
        </w:rPr>
      </w:pPr>
      <w:r w:rsidRPr="00024F36">
        <w:t>12.</w:t>
      </w:r>
      <w:r w:rsidRPr="00024F36">
        <w:tab/>
        <w:t>ugotavlja, da je Belgija prve upravne odhodke za izvajanje ESPG imela 6. marca 2025 in da bodo tovrstni odhodki torej upravičeni do finančnega prispevka iz ESPG od tega datuma do izteka 31 mesecev od datuma začetka veljavnosti sklepa o financiranju;</w:t>
      </w:r>
    </w:p>
    <w:p w14:paraId="705FFD1B" w14:textId="77777777" w:rsidR="001C5609" w:rsidRPr="00024F36" w:rsidRDefault="001C5609" w:rsidP="001C5609">
      <w:pPr>
        <w:pStyle w:val="NormalHanging12a"/>
      </w:pPr>
      <w:r w:rsidRPr="00024F36">
        <w:t>13.</w:t>
      </w:r>
      <w:r w:rsidRPr="00024F36">
        <w:tab/>
        <w:t>je seznanjen, da so belgijski organi dali zagotovila, da bosta pri dostopu do predlaganih ukrepov in njihovem izvajanju spoštovani načeli enake obravnave in nediskriminacije ter da bo preprečeno vsako dvojno financiranje;</w:t>
      </w:r>
    </w:p>
    <w:p w14:paraId="2D7DD5D8" w14:textId="77777777" w:rsidR="001C5609" w:rsidRPr="00024F36" w:rsidRDefault="001C5609" w:rsidP="001C5609">
      <w:pPr>
        <w:pStyle w:val="NormalHanging12a"/>
      </w:pPr>
      <w:r w:rsidRPr="00024F36">
        <w:t>14.</w:t>
      </w:r>
      <w:r w:rsidRPr="00024F36">
        <w:tab/>
        <w:t>ponavlja, da pomoč iz ESPG ne sme nadomestiti ukrepov, za katere so odgovorni javni organi ali podjetja na podlagi nacionalnega prava ali kolektivnih pogodb; opozarja, da je ESPG omejen, ciljno usmerjen in dopolnjujoč mehanizem.</w:t>
      </w:r>
    </w:p>
    <w:p w14:paraId="4F817BA3" w14:textId="77777777" w:rsidR="001C5609" w:rsidRPr="00024F36" w:rsidRDefault="001C5609" w:rsidP="001C5609">
      <w:pPr>
        <w:pStyle w:val="NormalHanging12a"/>
      </w:pPr>
      <w:r w:rsidRPr="00024F36">
        <w:t>15.</w:t>
      </w:r>
      <w:r w:rsidRPr="00024F36">
        <w:tab/>
        <w:t>odobri sklep, priložen tej resoluciji;</w:t>
      </w:r>
    </w:p>
    <w:p w14:paraId="3570F096" w14:textId="77777777" w:rsidR="001C5609" w:rsidRPr="00024F36" w:rsidRDefault="001C5609" w:rsidP="001C5609">
      <w:pPr>
        <w:pStyle w:val="NormalHanging12a"/>
      </w:pPr>
      <w:r w:rsidRPr="00024F36">
        <w:t>16.</w:t>
      </w:r>
      <w:r w:rsidRPr="00024F36">
        <w:tab/>
        <w:t xml:space="preserve">naroči svoji predsednici, naj podpiše ta sklep skupaj s predsedujočim Svetu ter poskrbi </w:t>
      </w:r>
      <w:r w:rsidRPr="00024F36">
        <w:lastRenderedPageBreak/>
        <w:t xml:space="preserve">za njegovo objavo v </w:t>
      </w:r>
      <w:r w:rsidRPr="00024F36">
        <w:rPr>
          <w:i/>
        </w:rPr>
        <w:t>Uradnem listu Evropske unije</w:t>
      </w:r>
      <w:r w:rsidRPr="00024F36">
        <w:t>;</w:t>
      </w:r>
    </w:p>
    <w:p w14:paraId="48CA7233" w14:textId="77777777" w:rsidR="001C5609" w:rsidRPr="00024F36" w:rsidRDefault="001C5609" w:rsidP="001C5609">
      <w:pPr>
        <w:pStyle w:val="NormalHanging12a"/>
      </w:pPr>
      <w:r w:rsidRPr="00024F36">
        <w:t>17.</w:t>
      </w:r>
      <w:r w:rsidRPr="00024F36">
        <w:tab/>
        <w:t>naroči svoji predsednici, naj resolucijo skupaj s prilogo posreduje Svetu in Komisiji.</w:t>
      </w:r>
    </w:p>
    <w:p w14:paraId="198BE1DA" w14:textId="77777777" w:rsidR="001C5609" w:rsidRPr="00024F36" w:rsidRDefault="001C5609" w:rsidP="001C5609">
      <w:pPr>
        <w:pStyle w:val="PageHeading"/>
        <w:jc w:val="left"/>
        <w:rPr>
          <w:noProof/>
        </w:rPr>
        <w:sectPr w:rsidR="001C5609" w:rsidRPr="00024F36" w:rsidSect="00024F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EB4F1E8" w14:textId="77777777" w:rsidR="004B0701" w:rsidRPr="004B0701" w:rsidRDefault="001C5609" w:rsidP="001C5609">
      <w:pPr>
        <w:pStyle w:val="PageHeading"/>
        <w:rPr>
          <w:rFonts w:ascii="Times New Roman" w:hAnsi="Times New Roman" w:cs="Times New Roman"/>
        </w:rPr>
      </w:pPr>
      <w:bookmarkStart w:id="8" w:name="_Toc224802322"/>
      <w:r w:rsidRPr="004B0701">
        <w:rPr>
          <w:rFonts w:ascii="Times New Roman" w:hAnsi="Times New Roman" w:cs="Times New Roman"/>
        </w:rPr>
        <w:lastRenderedPageBreak/>
        <w:t>PRILOGA</w:t>
      </w:r>
      <w:bookmarkStart w:id="9" w:name="_Hlk219192825"/>
    </w:p>
    <w:p w14:paraId="71FCF3CB" w14:textId="7EFF999C" w:rsidR="001C5609" w:rsidRPr="004B0701" w:rsidRDefault="001C5609" w:rsidP="001C5609">
      <w:pPr>
        <w:pStyle w:val="PageHeading"/>
        <w:rPr>
          <w:rFonts w:ascii="Times New Roman" w:hAnsi="Times New Roman" w:cs="Times New Roman"/>
        </w:rPr>
      </w:pPr>
      <w:r w:rsidRPr="004B0701">
        <w:rPr>
          <w:rFonts w:ascii="Times New Roman" w:hAnsi="Times New Roman" w:cs="Times New Roman"/>
        </w:rPr>
        <w:t>SKLEP EVROPSKEGA PARLAMENTA IN SVETA</w:t>
      </w:r>
      <w:bookmarkEnd w:id="8"/>
    </w:p>
    <w:p w14:paraId="1021A457" w14:textId="77777777" w:rsidR="001C5609" w:rsidRDefault="001C5609" w:rsidP="001C5609">
      <w:pPr>
        <w:pStyle w:val="Titreobjet"/>
      </w:pPr>
      <w:r w:rsidRPr="00024F36">
        <w:t>o uporabi Evropskega sklada za prilagoditev globalizaciji za presežne delavce na podlagi vloge Belgije – EGF/2025/007 BE/</w:t>
      </w:r>
      <w:proofErr w:type="spellStart"/>
      <w:r w:rsidRPr="00024F36">
        <w:t>Casa</w:t>
      </w:r>
      <w:proofErr w:type="spellEnd"/>
    </w:p>
    <w:p w14:paraId="7DAAC73F" w14:textId="192C1232" w:rsidR="004B0701" w:rsidRPr="004B0701" w:rsidRDefault="004B0701" w:rsidP="004B0701">
      <w:pPr>
        <w:widowControl/>
        <w:spacing w:before="120" w:after="120"/>
        <w:rPr>
          <w:lang w:eastAsia="en-US"/>
        </w:rPr>
      </w:pPr>
      <w:r w:rsidRPr="004B0701">
        <w:rPr>
          <w:i/>
        </w:rPr>
        <w:t>(Besedilo te priloge tukaj ni navedeno, saj je enako končnemu aktu, Sklepu (EU) 202</w:t>
      </w:r>
      <w:r w:rsidRPr="004B0701">
        <w:rPr>
          <w:i/>
        </w:rPr>
        <w:t>6</w:t>
      </w:r>
      <w:r w:rsidRPr="004B0701">
        <w:rPr>
          <w:i/>
        </w:rPr>
        <w:t>/</w:t>
      </w:r>
      <w:r>
        <w:rPr>
          <w:i/>
        </w:rPr>
        <w:t>851</w:t>
      </w:r>
      <w:r w:rsidRPr="004B0701">
        <w:rPr>
          <w:i/>
        </w:rPr>
        <w:t>.)</w:t>
      </w:r>
    </w:p>
    <w:bookmarkEnd w:id="9"/>
    <w:sectPr w:rsidR="004B0701" w:rsidRPr="004B0701" w:rsidSect="00024F36">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28CDA" w14:textId="77777777" w:rsidR="00AF49BB" w:rsidRPr="00024F36" w:rsidRDefault="00AF49BB">
      <w:r w:rsidRPr="00024F36">
        <w:separator/>
      </w:r>
    </w:p>
  </w:endnote>
  <w:endnote w:type="continuationSeparator" w:id="0">
    <w:p w14:paraId="505567D4" w14:textId="77777777" w:rsidR="00AF49BB" w:rsidRPr="00024F36" w:rsidRDefault="00AF49BB">
      <w:r w:rsidRPr="00024F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49487" w14:textId="77777777" w:rsidR="001C5609" w:rsidRPr="00024F36" w:rsidRDefault="001C5609" w:rsidP="00886A1F">
    <w:pPr>
      <w:pStyle w:val="EPFooter"/>
    </w:pPr>
    <w:r w:rsidRPr="00024F36">
      <w:t>PE</w:t>
    </w:r>
    <w:r w:rsidRPr="00024F36">
      <w:rPr>
        <w:rStyle w:val="HideTWBExt"/>
      </w:rPr>
      <w:t>&lt;</w:t>
    </w:r>
    <w:proofErr w:type="spellStart"/>
    <w:r w:rsidRPr="00024F36">
      <w:rPr>
        <w:rStyle w:val="HideTWBExt"/>
      </w:rPr>
      <w:t>NoPE</w:t>
    </w:r>
    <w:proofErr w:type="spellEnd"/>
    <w:r w:rsidRPr="00024F36">
      <w:rPr>
        <w:rStyle w:val="HideTWBExt"/>
      </w:rPr>
      <w:t>&gt;</w:t>
    </w:r>
    <w:r w:rsidRPr="00024F36">
      <w:t>784.477</w:t>
    </w:r>
    <w:r w:rsidRPr="00024F36">
      <w:rPr>
        <w:rStyle w:val="HideTWBExt"/>
      </w:rPr>
      <w:t>&lt;/</w:t>
    </w:r>
    <w:proofErr w:type="spellStart"/>
    <w:r w:rsidRPr="00024F36">
      <w:rPr>
        <w:rStyle w:val="HideTWBExt"/>
      </w:rPr>
      <w:t>NoPE</w:t>
    </w:r>
    <w:proofErr w:type="spellEnd"/>
    <w:r w:rsidRPr="00024F36">
      <w:rPr>
        <w:rStyle w:val="HideTWBExt"/>
      </w:rPr>
      <w:t>&gt;&lt;Version&gt;</w:t>
    </w:r>
    <w:r w:rsidRPr="00024F36">
      <w:t>v02-00</w:t>
    </w:r>
    <w:r w:rsidRPr="00024F36">
      <w:rPr>
        <w:rStyle w:val="HideTWBExt"/>
      </w:rPr>
      <w:t>&lt;/</w:t>
    </w:r>
    <w:proofErr w:type="spellStart"/>
    <w:r w:rsidRPr="00024F36">
      <w:rPr>
        <w:rStyle w:val="HideTWBExt"/>
      </w:rPr>
      <w:t>Version</w:t>
    </w:r>
    <w:proofErr w:type="spellEnd"/>
    <w:r w:rsidRPr="00024F36">
      <w:rPr>
        <w:rStyle w:val="HideTWBExt"/>
      </w:rPr>
      <w:t>&gt;</w:t>
    </w:r>
    <w:r w:rsidRPr="00024F36">
      <w:tab/>
    </w:r>
    <w:r w:rsidRPr="00024F36">
      <w:fldChar w:fldCharType="begin"/>
    </w:r>
    <w:r w:rsidRPr="00024F36">
      <w:instrText xml:space="preserve"> PAGE  \* MERGEFORMAT </w:instrText>
    </w:r>
    <w:r w:rsidRPr="00024F36">
      <w:fldChar w:fldCharType="separate"/>
    </w:r>
    <w:r w:rsidRPr="00024F36">
      <w:rPr>
        <w:noProof/>
      </w:rPr>
      <w:t>12</w:t>
    </w:r>
    <w:r w:rsidRPr="00024F36">
      <w:fldChar w:fldCharType="end"/>
    </w:r>
    <w:r w:rsidRPr="00024F36">
      <w:t>/</w:t>
    </w:r>
    <w:fldSimple w:instr=" NUMPAGES  \* MERGEFORMAT ">
      <w:r w:rsidRPr="00024F36">
        <w:rPr>
          <w:noProof/>
        </w:rPr>
        <w:t>14</w:t>
      </w:r>
    </w:fldSimple>
    <w:r w:rsidRPr="00024F36">
      <w:tab/>
    </w:r>
    <w:r w:rsidRPr="00024F36">
      <w:rPr>
        <w:rStyle w:val="HideTWBExt"/>
      </w:rPr>
      <w:t>&lt;PathFdR&gt;</w:t>
    </w:r>
    <w:r w:rsidRPr="00024F36">
      <w:t>RR\1339712SL.docx</w:t>
    </w:r>
    <w:r w:rsidRPr="00024F36">
      <w:rPr>
        <w:rStyle w:val="HideTWBExt"/>
      </w:rPr>
      <w:t>&lt;/</w:t>
    </w:r>
    <w:proofErr w:type="spellStart"/>
    <w:r w:rsidRPr="00024F36">
      <w:rPr>
        <w:rStyle w:val="HideTWBExt"/>
      </w:rPr>
      <w:t>PathFdR</w:t>
    </w:r>
    <w:proofErr w:type="spellEnd"/>
    <w:r w:rsidRPr="00024F36">
      <w:rPr>
        <w:rStyle w:val="HideTWBExt"/>
      </w:rPr>
      <w:t>&gt;</w:t>
    </w:r>
  </w:p>
  <w:p w14:paraId="2312BF55" w14:textId="77777777" w:rsidR="001C5609" w:rsidRPr="00024F36" w:rsidRDefault="001C5609" w:rsidP="00886A1F">
    <w:pPr>
      <w:pStyle w:val="EPFooter2"/>
    </w:pPr>
    <w:r w:rsidRPr="00024F36">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3B876" w14:textId="77777777" w:rsidR="007002ED" w:rsidRDefault="007002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85F2B" w14:textId="77777777" w:rsidR="001C5609" w:rsidRPr="00024F36" w:rsidRDefault="001C5609" w:rsidP="00886A1F">
    <w:pPr>
      <w:pStyle w:val="EPFooter"/>
    </w:pPr>
    <w:r w:rsidRPr="00024F36">
      <w:rPr>
        <w:rStyle w:val="HideTWBExt"/>
      </w:rPr>
      <w:t>&lt;PathFdR&gt;</w:t>
    </w:r>
    <w:r w:rsidRPr="00024F36">
      <w:t>RR\1339712SL.docx</w:t>
    </w:r>
    <w:r w:rsidRPr="00024F36">
      <w:rPr>
        <w:rStyle w:val="HideTWBExt"/>
      </w:rPr>
      <w:t>&lt;/</w:t>
    </w:r>
    <w:proofErr w:type="spellStart"/>
    <w:r w:rsidRPr="00024F36">
      <w:rPr>
        <w:rStyle w:val="HideTWBExt"/>
      </w:rPr>
      <w:t>PathFdR</w:t>
    </w:r>
    <w:proofErr w:type="spellEnd"/>
    <w:r w:rsidRPr="00024F36">
      <w:rPr>
        <w:rStyle w:val="HideTWBExt"/>
      </w:rPr>
      <w:t>&gt;</w:t>
    </w:r>
    <w:r w:rsidRPr="00024F36">
      <w:tab/>
    </w:r>
    <w:r w:rsidRPr="00024F36">
      <w:tab/>
      <w:t>PE</w:t>
    </w:r>
    <w:r w:rsidRPr="00024F36">
      <w:rPr>
        <w:rStyle w:val="HideTWBExt"/>
      </w:rPr>
      <w:t>&lt;</w:t>
    </w:r>
    <w:proofErr w:type="spellStart"/>
    <w:r w:rsidRPr="00024F36">
      <w:rPr>
        <w:rStyle w:val="HideTWBExt"/>
      </w:rPr>
      <w:t>NoPE</w:t>
    </w:r>
    <w:proofErr w:type="spellEnd"/>
    <w:r w:rsidRPr="00024F36">
      <w:rPr>
        <w:rStyle w:val="HideTWBExt"/>
      </w:rPr>
      <w:t>&gt;</w:t>
    </w:r>
    <w:r w:rsidRPr="00024F36">
      <w:t>784.477</w:t>
    </w:r>
    <w:r w:rsidRPr="00024F36">
      <w:rPr>
        <w:rStyle w:val="HideTWBExt"/>
      </w:rPr>
      <w:t>&lt;/</w:t>
    </w:r>
    <w:proofErr w:type="spellStart"/>
    <w:r w:rsidRPr="00024F36">
      <w:rPr>
        <w:rStyle w:val="HideTWBExt"/>
      </w:rPr>
      <w:t>NoPE</w:t>
    </w:r>
    <w:proofErr w:type="spellEnd"/>
    <w:r w:rsidRPr="00024F36">
      <w:rPr>
        <w:rStyle w:val="HideTWBExt"/>
      </w:rPr>
      <w:t>&gt;&lt;Version&gt;</w:t>
    </w:r>
    <w:r w:rsidRPr="00024F36">
      <w:t>v02-00</w:t>
    </w:r>
    <w:r w:rsidRPr="00024F36">
      <w:rPr>
        <w:rStyle w:val="HideTWBExt"/>
      </w:rPr>
      <w:t>&lt;/</w:t>
    </w:r>
    <w:proofErr w:type="spellStart"/>
    <w:r w:rsidRPr="00024F36">
      <w:rPr>
        <w:rStyle w:val="HideTWBExt"/>
      </w:rPr>
      <w:t>Version</w:t>
    </w:r>
    <w:proofErr w:type="spellEnd"/>
    <w:r w:rsidRPr="00024F36">
      <w:rPr>
        <w:rStyle w:val="HideTWBExt"/>
      </w:rPr>
      <w:t>&gt;</w:t>
    </w:r>
  </w:p>
  <w:p w14:paraId="34B7C180" w14:textId="77777777" w:rsidR="001C5609" w:rsidRPr="00024F36" w:rsidRDefault="001C5609" w:rsidP="00886A1F">
    <w:pPr>
      <w:pStyle w:val="EPFooter2"/>
    </w:pPr>
    <w:r w:rsidRPr="00024F36">
      <w:t>SL</w:t>
    </w:r>
    <w:r w:rsidRPr="00024F36">
      <w:tab/>
    </w:r>
    <w:r w:rsidRPr="00024F36">
      <w:rPr>
        <w:b w:val="0"/>
        <w:i/>
        <w:color w:val="C0C0C0"/>
        <w:sz w:val="22"/>
      </w:rPr>
      <w:t>Združena v raznolikosti</w:t>
    </w:r>
    <w:r w:rsidRPr="00024F36">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CDA8A" w14:textId="77777777" w:rsidR="00064002" w:rsidRPr="00024F3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00109" w14:textId="77777777" w:rsidR="00064002" w:rsidRPr="00024F3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44ED6" w14:textId="77777777" w:rsidR="00064002" w:rsidRPr="00024F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CBBF7" w14:textId="77777777" w:rsidR="00AF49BB" w:rsidRPr="00024F36" w:rsidRDefault="00AF49BB">
      <w:r w:rsidRPr="00024F36">
        <w:separator/>
      </w:r>
    </w:p>
  </w:footnote>
  <w:footnote w:type="continuationSeparator" w:id="0">
    <w:p w14:paraId="3C782198" w14:textId="77777777" w:rsidR="00AF49BB" w:rsidRPr="00024F36" w:rsidRDefault="00AF49BB">
      <w:r w:rsidRPr="00024F36">
        <w:continuationSeparator/>
      </w:r>
    </w:p>
  </w:footnote>
  <w:footnote w:id="1">
    <w:p w14:paraId="494C0F40" w14:textId="19EA9EC3" w:rsidR="001C5609" w:rsidRPr="00024F36" w:rsidRDefault="001C5609" w:rsidP="00024F36">
      <w:pPr>
        <w:pStyle w:val="FootnoteText"/>
        <w:ind w:left="567" w:hanging="567"/>
        <w:rPr>
          <w:sz w:val="24"/>
          <w:lang w:val="sl-SI"/>
        </w:rPr>
      </w:pPr>
      <w:r w:rsidRPr="00024F36">
        <w:rPr>
          <w:rStyle w:val="FootnoteReference"/>
          <w:sz w:val="24"/>
          <w:lang w:val="sl-SI"/>
        </w:rPr>
        <w:footnoteRef/>
      </w:r>
      <w:r w:rsidR="00024F36" w:rsidRPr="00024F36">
        <w:rPr>
          <w:sz w:val="24"/>
          <w:lang w:val="sl-SI"/>
        </w:rPr>
        <w:t xml:space="preserve"> </w:t>
      </w:r>
      <w:r w:rsidR="00024F36" w:rsidRPr="00024F36">
        <w:rPr>
          <w:sz w:val="24"/>
          <w:lang w:val="sl-SI"/>
        </w:rPr>
        <w:tab/>
      </w:r>
      <w:r w:rsidRPr="00024F36">
        <w:rPr>
          <w:sz w:val="24"/>
          <w:lang w:val="sl-SI"/>
        </w:rPr>
        <w:t xml:space="preserve">UL L 153, 3.5.2021, str. 48, ELI: </w:t>
      </w:r>
      <w:hyperlink r:id="rId1" w:history="1">
        <w:r w:rsidRPr="00024F36">
          <w:rPr>
            <w:rStyle w:val="Hyperlink"/>
            <w:sz w:val="24"/>
            <w:lang w:val="sl-SI"/>
          </w:rPr>
          <w:t>http://data.europa.eu/eli/reg/2021/691/oj</w:t>
        </w:r>
      </w:hyperlink>
      <w:r w:rsidRPr="00024F36">
        <w:rPr>
          <w:sz w:val="24"/>
          <w:lang w:val="sl-SI"/>
        </w:rPr>
        <w:t>.</w:t>
      </w:r>
    </w:p>
  </w:footnote>
  <w:footnote w:id="2">
    <w:p w14:paraId="05F1F16E" w14:textId="722B7437" w:rsidR="001C5609" w:rsidRPr="00024F36" w:rsidRDefault="001C5609" w:rsidP="00024F36">
      <w:pPr>
        <w:pStyle w:val="FootnoteText"/>
        <w:ind w:left="567" w:hanging="567"/>
        <w:rPr>
          <w:sz w:val="24"/>
          <w:lang w:val="sl-SI"/>
        </w:rPr>
      </w:pPr>
      <w:r w:rsidRPr="00024F36">
        <w:rPr>
          <w:rStyle w:val="FootnoteReference"/>
          <w:sz w:val="24"/>
          <w:lang w:val="sl-SI"/>
        </w:rPr>
        <w:footnoteRef/>
      </w:r>
      <w:r w:rsidR="00024F36" w:rsidRPr="00024F36">
        <w:rPr>
          <w:sz w:val="24"/>
          <w:lang w:val="sl-SI"/>
        </w:rPr>
        <w:t xml:space="preserve"> </w:t>
      </w:r>
      <w:r w:rsidR="00024F36" w:rsidRPr="00024F36">
        <w:rPr>
          <w:sz w:val="24"/>
          <w:lang w:val="sl-SI"/>
        </w:rPr>
        <w:tab/>
      </w:r>
      <w:r w:rsidRPr="00024F36">
        <w:rPr>
          <w:sz w:val="24"/>
          <w:lang w:val="sl-SI"/>
        </w:rPr>
        <w:t>UL L 433</w:t>
      </w:r>
      <w:r w:rsidR="0042604D">
        <w:rPr>
          <w:sz w:val="24"/>
          <w:lang w:val="sl-SI"/>
        </w:rPr>
        <w:t> </w:t>
      </w:r>
      <w:r w:rsidRPr="00024F36">
        <w:rPr>
          <w:sz w:val="24"/>
          <w:lang w:val="sl-SI"/>
        </w:rPr>
        <w:t xml:space="preserve">I, 22.12.2020, str. 11, ELI: </w:t>
      </w:r>
      <w:hyperlink r:id="rId2" w:history="1">
        <w:r w:rsidRPr="00024F36">
          <w:rPr>
            <w:rStyle w:val="Hyperlink"/>
            <w:sz w:val="24"/>
            <w:lang w:val="sl-SI"/>
          </w:rPr>
          <w:t>http://data.europa.eu/eli/reg/2020/2093/oj</w:t>
        </w:r>
      </w:hyperlink>
      <w:r w:rsidRPr="00024F36">
        <w:rPr>
          <w:sz w:val="24"/>
          <w:lang w:val="sl-SI"/>
        </w:rPr>
        <w:t>.</w:t>
      </w:r>
    </w:p>
  </w:footnote>
  <w:footnote w:id="3">
    <w:p w14:paraId="2DC7C102" w14:textId="601218FD" w:rsidR="001C5609" w:rsidRPr="00024F36" w:rsidRDefault="001C5609" w:rsidP="00024F36">
      <w:pPr>
        <w:pStyle w:val="FootnoteText"/>
        <w:ind w:left="567" w:hanging="567"/>
        <w:rPr>
          <w:sz w:val="24"/>
          <w:lang w:val="sl-SI"/>
        </w:rPr>
      </w:pPr>
      <w:r w:rsidRPr="00024F36">
        <w:rPr>
          <w:rStyle w:val="FootnoteReference"/>
          <w:sz w:val="24"/>
          <w:lang w:val="sl-SI"/>
        </w:rPr>
        <w:footnoteRef/>
      </w:r>
      <w:r w:rsidR="00024F36" w:rsidRPr="00024F36">
        <w:rPr>
          <w:sz w:val="24"/>
          <w:shd w:val="clear" w:color="auto" w:fill="FFFFFF"/>
          <w:lang w:val="sl-SI"/>
        </w:rPr>
        <w:t xml:space="preserve"> </w:t>
      </w:r>
      <w:r w:rsidR="00024F36" w:rsidRPr="00024F36">
        <w:rPr>
          <w:sz w:val="24"/>
          <w:shd w:val="clear" w:color="auto" w:fill="FFFFFF"/>
          <w:lang w:val="sl-SI"/>
        </w:rPr>
        <w:tab/>
      </w:r>
      <w:r w:rsidRPr="00024F36">
        <w:rPr>
          <w:sz w:val="24"/>
          <w:shd w:val="clear" w:color="auto" w:fill="FFFFFF"/>
          <w:lang w:val="sl-SI"/>
        </w:rPr>
        <w:t>Uredba Sveta (EU, Euratom) 2024/765 z dne 29. februarja 2024 o spremembi Uredbe (EU, Euratom) 2020/2093 o določitvi večletnega finančnega okvira za obdobje 2021–2027 (UL L, 2024/765, 29.2.2024, ELI:</w:t>
      </w:r>
      <w:r w:rsidRPr="00024F36">
        <w:rPr>
          <w:color w:val="333333"/>
          <w:sz w:val="24"/>
          <w:shd w:val="clear" w:color="auto" w:fill="FFFFFF"/>
          <w:lang w:val="sl-SI"/>
        </w:rPr>
        <w:t xml:space="preserve"> </w:t>
      </w:r>
      <w:hyperlink r:id="rId3" w:history="1">
        <w:r w:rsidRPr="00024F36">
          <w:rPr>
            <w:rStyle w:val="Hyperlink"/>
            <w:sz w:val="24"/>
            <w:shd w:val="clear" w:color="auto" w:fill="FFFFFF"/>
            <w:lang w:val="sl-SI"/>
          </w:rPr>
          <w:t>http://data.europa.eu/eli/reg/2024/765/oj</w:t>
        </w:r>
      </w:hyperlink>
      <w:r w:rsidRPr="00024F36">
        <w:rPr>
          <w:i/>
          <w:color w:val="333333"/>
          <w:sz w:val="24"/>
          <w:shd w:val="clear" w:color="auto" w:fill="FFFFFF"/>
          <w:lang w:val="sl-SI"/>
        </w:rPr>
        <w:t>).</w:t>
      </w:r>
    </w:p>
  </w:footnote>
  <w:footnote w:id="4">
    <w:p w14:paraId="63443E78" w14:textId="08164916" w:rsidR="001C5609" w:rsidRPr="00024F36" w:rsidRDefault="001C5609" w:rsidP="00024F36">
      <w:pPr>
        <w:pStyle w:val="FootnoteText"/>
        <w:ind w:left="567" w:hanging="567"/>
        <w:rPr>
          <w:sz w:val="24"/>
          <w:lang w:val="sl-SI"/>
        </w:rPr>
      </w:pPr>
      <w:r w:rsidRPr="00024F36">
        <w:rPr>
          <w:rStyle w:val="FootnoteReference"/>
          <w:sz w:val="24"/>
          <w:lang w:val="sl-SI"/>
        </w:rPr>
        <w:footnoteRef/>
      </w:r>
      <w:r w:rsidR="00024F36" w:rsidRPr="00024F36">
        <w:rPr>
          <w:sz w:val="24"/>
          <w:lang w:val="sl-SI"/>
        </w:rPr>
        <w:t xml:space="preserve"> </w:t>
      </w:r>
      <w:r w:rsidR="00024F36" w:rsidRPr="00024F36">
        <w:rPr>
          <w:sz w:val="24"/>
          <w:lang w:val="sl-SI"/>
        </w:rPr>
        <w:tab/>
      </w:r>
      <w:r w:rsidRPr="00024F36">
        <w:rPr>
          <w:sz w:val="24"/>
          <w:lang w:val="sl-SI"/>
        </w:rPr>
        <w:t>UL L 433</w:t>
      </w:r>
      <w:r w:rsidR="0042604D">
        <w:rPr>
          <w:sz w:val="24"/>
          <w:lang w:val="sl-SI"/>
        </w:rPr>
        <w:t> </w:t>
      </w:r>
      <w:r w:rsidRPr="00024F36">
        <w:rPr>
          <w:sz w:val="24"/>
          <w:lang w:val="sl-SI"/>
        </w:rPr>
        <w:t xml:space="preserve">I, 22.12.2020, str. 28, ELI: </w:t>
      </w:r>
      <w:hyperlink r:id="rId4" w:history="1">
        <w:r w:rsidRPr="00024F36">
          <w:rPr>
            <w:rStyle w:val="Hyperlink"/>
            <w:sz w:val="24"/>
            <w:lang w:val="sl-SI"/>
          </w:rPr>
          <w:t>http://data.europa.eu/eli/agree_interinstit/2020/1222/oj</w:t>
        </w:r>
      </w:hyperlink>
      <w:r w:rsidRPr="00024F36">
        <w:rPr>
          <w:sz w:val="24"/>
          <w:lang w:val="sl-SI"/>
        </w:rPr>
        <w:t>.</w:t>
      </w:r>
    </w:p>
  </w:footnote>
  <w:footnote w:id="5">
    <w:p w14:paraId="4C1D6C24" w14:textId="1953665F" w:rsidR="001C5609" w:rsidRPr="00024F36" w:rsidRDefault="001C5609" w:rsidP="00024F36">
      <w:pPr>
        <w:pStyle w:val="FootnoteText"/>
        <w:ind w:left="567" w:hanging="567"/>
        <w:rPr>
          <w:sz w:val="24"/>
          <w:lang w:val="sl-SI"/>
        </w:rPr>
      </w:pPr>
      <w:r w:rsidRPr="00024F36">
        <w:rPr>
          <w:rStyle w:val="FootnoteReference"/>
          <w:sz w:val="24"/>
          <w:lang w:val="sl-SI"/>
        </w:rPr>
        <w:footnoteRef/>
      </w:r>
      <w:r w:rsidR="00024F36" w:rsidRPr="00024F36">
        <w:rPr>
          <w:sz w:val="24"/>
          <w:lang w:val="sl-SI"/>
        </w:rPr>
        <w:t xml:space="preserve"> </w:t>
      </w:r>
      <w:r w:rsidR="00024F36" w:rsidRPr="00024F36">
        <w:rPr>
          <w:sz w:val="24"/>
          <w:lang w:val="sl-SI"/>
        </w:rPr>
        <w:tab/>
      </w:r>
      <w:r w:rsidRPr="00024F36">
        <w:rPr>
          <w:sz w:val="24"/>
          <w:lang w:val="sl-SI"/>
        </w:rPr>
        <w:t>V smislu člena 3 uredbe o ESPG.</w:t>
      </w:r>
    </w:p>
  </w:footnote>
  <w:footnote w:id="6">
    <w:p w14:paraId="1FCA8629" w14:textId="046F2B5E" w:rsidR="001C5609" w:rsidRPr="00024F36" w:rsidRDefault="001C5609" w:rsidP="00024F36">
      <w:pPr>
        <w:pStyle w:val="FootnoteText"/>
        <w:ind w:left="567" w:hanging="567"/>
        <w:rPr>
          <w:sz w:val="24"/>
          <w:lang w:val="sl-SI"/>
        </w:rPr>
      </w:pPr>
      <w:r w:rsidRPr="00024F36">
        <w:rPr>
          <w:rStyle w:val="FootnoteReference"/>
          <w:sz w:val="24"/>
          <w:lang w:val="sl-SI"/>
        </w:rPr>
        <w:footnoteRef/>
      </w:r>
      <w:r w:rsidR="00024F36" w:rsidRPr="00024F36">
        <w:rPr>
          <w:sz w:val="24"/>
          <w:lang w:val="sl-SI"/>
        </w:rPr>
        <w:t xml:space="preserve"> </w:t>
      </w:r>
      <w:r w:rsidR="00024F36" w:rsidRPr="00024F36">
        <w:rPr>
          <w:sz w:val="24"/>
          <w:lang w:val="sl-SI"/>
        </w:rPr>
        <w:tab/>
      </w:r>
      <w:r w:rsidRPr="00024F36">
        <w:rPr>
          <w:sz w:val="24"/>
          <w:lang w:val="sl-SI"/>
        </w:rPr>
        <w:t>Člen 8 uredbe o večletnem finančnem okviru.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A1A27" w14:textId="77777777" w:rsidR="001C5609" w:rsidRPr="00024F36" w:rsidRDefault="001C5609">
    <w:pPr>
      <w:pStyle w:val="Header"/>
    </w:pPr>
  </w:p>
  <w:p w14:paraId="3B39FFE4" w14:textId="77777777" w:rsidR="001C5609" w:rsidRPr="00024F36" w:rsidRDefault="001C5609"/>
  <w:p w14:paraId="3B1AB0BC" w14:textId="77777777" w:rsidR="001C5609" w:rsidRPr="00024F36" w:rsidRDefault="001C56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2CA08" w14:textId="77777777" w:rsidR="001C5609" w:rsidRPr="00024F36" w:rsidRDefault="001C5609" w:rsidP="007002E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7D8B9" w14:textId="77777777" w:rsidR="007002ED" w:rsidRDefault="007002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0649D" w14:textId="77777777" w:rsidR="00064002" w:rsidRPr="00024F3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10A4D" w14:textId="77777777" w:rsidR="00064002" w:rsidRPr="00024F3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8E3C4" w14:textId="77777777" w:rsidR="00064002" w:rsidRPr="00024F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6188201">
    <w:abstractNumId w:val="9"/>
  </w:num>
  <w:num w:numId="2" w16cid:durableId="374815120">
    <w:abstractNumId w:val="9"/>
  </w:num>
  <w:num w:numId="3" w16cid:durableId="252477142">
    <w:abstractNumId w:val="7"/>
  </w:num>
  <w:num w:numId="4" w16cid:durableId="360396355">
    <w:abstractNumId w:val="7"/>
  </w:num>
  <w:num w:numId="5" w16cid:durableId="2139908247">
    <w:abstractNumId w:val="6"/>
  </w:num>
  <w:num w:numId="6" w16cid:durableId="2019966003">
    <w:abstractNumId w:val="6"/>
  </w:num>
  <w:num w:numId="7" w16cid:durableId="433331119">
    <w:abstractNumId w:val="5"/>
  </w:num>
  <w:num w:numId="8" w16cid:durableId="1215311428">
    <w:abstractNumId w:val="5"/>
  </w:num>
  <w:num w:numId="9" w16cid:durableId="402528330">
    <w:abstractNumId w:val="4"/>
  </w:num>
  <w:num w:numId="10" w16cid:durableId="921720411">
    <w:abstractNumId w:val="4"/>
  </w:num>
  <w:num w:numId="11" w16cid:durableId="129328039">
    <w:abstractNumId w:val="8"/>
  </w:num>
  <w:num w:numId="12" w16cid:durableId="724834298">
    <w:abstractNumId w:val="8"/>
  </w:num>
  <w:num w:numId="13" w16cid:durableId="1289899384">
    <w:abstractNumId w:val="3"/>
  </w:num>
  <w:num w:numId="14" w16cid:durableId="326902144">
    <w:abstractNumId w:val="3"/>
  </w:num>
  <w:num w:numId="15" w16cid:durableId="1681857557">
    <w:abstractNumId w:val="2"/>
  </w:num>
  <w:num w:numId="16" w16cid:durableId="1983802328">
    <w:abstractNumId w:val="2"/>
  </w:num>
  <w:num w:numId="17" w16cid:durableId="1920943306">
    <w:abstractNumId w:val="1"/>
  </w:num>
  <w:num w:numId="18" w16cid:durableId="1484397242">
    <w:abstractNumId w:val="1"/>
  </w:num>
  <w:num w:numId="19" w16cid:durableId="1218397507">
    <w:abstractNumId w:val="0"/>
  </w:num>
  <w:num w:numId="20" w16cid:durableId="1173834773">
    <w:abstractNumId w:val="0"/>
  </w:num>
  <w:num w:numId="21" w16cid:durableId="906918351">
    <w:abstractNumId w:val="9"/>
  </w:num>
  <w:num w:numId="22" w16cid:durableId="2137751062">
    <w:abstractNumId w:val="7"/>
  </w:num>
  <w:num w:numId="23" w16cid:durableId="109785625">
    <w:abstractNumId w:val="6"/>
  </w:num>
  <w:num w:numId="24" w16cid:durableId="1714497288">
    <w:abstractNumId w:val="5"/>
  </w:num>
  <w:num w:numId="25" w16cid:durableId="1975477623">
    <w:abstractNumId w:val="4"/>
  </w:num>
  <w:num w:numId="26" w16cid:durableId="79182525">
    <w:abstractNumId w:val="8"/>
  </w:num>
  <w:num w:numId="27" w16cid:durableId="836114587">
    <w:abstractNumId w:val="3"/>
  </w:num>
  <w:num w:numId="28" w16cid:durableId="59711911">
    <w:abstractNumId w:val="2"/>
  </w:num>
  <w:num w:numId="29" w16cid:durableId="1536699603">
    <w:abstractNumId w:val="1"/>
  </w:num>
  <w:num w:numId="30" w16cid:durableId="1662153240">
    <w:abstractNumId w:val="0"/>
  </w:num>
  <w:num w:numId="31" w16cid:durableId="832839088">
    <w:abstractNumId w:val="9"/>
  </w:num>
  <w:num w:numId="32" w16cid:durableId="8484538">
    <w:abstractNumId w:val="7"/>
  </w:num>
  <w:num w:numId="33" w16cid:durableId="1066992455">
    <w:abstractNumId w:val="6"/>
  </w:num>
  <w:num w:numId="34" w16cid:durableId="1491141836">
    <w:abstractNumId w:val="5"/>
  </w:num>
  <w:num w:numId="35" w16cid:durableId="1951740432">
    <w:abstractNumId w:val="4"/>
  </w:num>
  <w:num w:numId="36" w16cid:durableId="712776262">
    <w:abstractNumId w:val="8"/>
  </w:num>
  <w:num w:numId="37" w16cid:durableId="1804687831">
    <w:abstractNumId w:val="3"/>
  </w:num>
  <w:num w:numId="38" w16cid:durableId="539316759">
    <w:abstractNumId w:val="2"/>
  </w:num>
  <w:num w:numId="39" w16cid:durableId="808129654">
    <w:abstractNumId w:val="1"/>
  </w:num>
  <w:num w:numId="40" w16cid:durableId="1409425084">
    <w:abstractNumId w:val="0"/>
  </w:num>
  <w:num w:numId="41" w16cid:durableId="1627420524">
    <w:abstractNumId w:val="10"/>
  </w:num>
  <w:num w:numId="42" w16cid:durableId="429205351">
    <w:abstractNumId w:val="10"/>
  </w:num>
  <w:num w:numId="43" w16cid:durableId="1500925853">
    <w:abstractNumId w:val="10"/>
  </w:num>
  <w:num w:numId="44" w16cid:durableId="15685669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SL"/>
    <w:docVar w:name="dvnumam" w:val="0"/>
    <w:docVar w:name="dvpe" w:val="784.477"/>
    <w:docVar w:name="dvrapporteur" w:val="Poročevalec: "/>
    <w:docVar w:name="dvtitre" w:val="Resolucija Evropskega parlamenta z dne … 2026 o predlogu sklepa Evropskega parlamenta in Sveta o uporabi Evropskega sklada za prilagoditev globalizaciji za presežne delavce na podlagi vloge Belgije – EGF/2025/007 BE/Casa(COM(2026)0003 – C10-0025/2026 – 2026/0038(BUD))"/>
  </w:docVars>
  <w:rsids>
    <w:rsidRoot w:val="00AF49BB"/>
    <w:rsid w:val="00002272"/>
    <w:rsid w:val="00024F36"/>
    <w:rsid w:val="00064002"/>
    <w:rsid w:val="000677B9"/>
    <w:rsid w:val="000831BA"/>
    <w:rsid w:val="000A42CC"/>
    <w:rsid w:val="000E7DD9"/>
    <w:rsid w:val="0010095E"/>
    <w:rsid w:val="00105901"/>
    <w:rsid w:val="00125B37"/>
    <w:rsid w:val="0017203F"/>
    <w:rsid w:val="00187494"/>
    <w:rsid w:val="001C5609"/>
    <w:rsid w:val="001F32AE"/>
    <w:rsid w:val="002767FF"/>
    <w:rsid w:val="002B18FE"/>
    <w:rsid w:val="002B5493"/>
    <w:rsid w:val="00343214"/>
    <w:rsid w:val="00361C00"/>
    <w:rsid w:val="003708A0"/>
    <w:rsid w:val="00395FA1"/>
    <w:rsid w:val="003E15D4"/>
    <w:rsid w:val="00411CCE"/>
    <w:rsid w:val="0041666E"/>
    <w:rsid w:val="00421060"/>
    <w:rsid w:val="0042604D"/>
    <w:rsid w:val="00471C19"/>
    <w:rsid w:val="004867E3"/>
    <w:rsid w:val="00494A28"/>
    <w:rsid w:val="004B0701"/>
    <w:rsid w:val="004B7D44"/>
    <w:rsid w:val="004C0004"/>
    <w:rsid w:val="004C5D52"/>
    <w:rsid w:val="0050519A"/>
    <w:rsid w:val="005072A1"/>
    <w:rsid w:val="00514517"/>
    <w:rsid w:val="00545827"/>
    <w:rsid w:val="00560270"/>
    <w:rsid w:val="005B5616"/>
    <w:rsid w:val="005C2568"/>
    <w:rsid w:val="005F1B17"/>
    <w:rsid w:val="006037C0"/>
    <w:rsid w:val="006631B6"/>
    <w:rsid w:val="00680577"/>
    <w:rsid w:val="006F74FA"/>
    <w:rsid w:val="007002ED"/>
    <w:rsid w:val="00724132"/>
    <w:rsid w:val="00731ADD"/>
    <w:rsid w:val="00734777"/>
    <w:rsid w:val="00747932"/>
    <w:rsid w:val="00751A4A"/>
    <w:rsid w:val="00756632"/>
    <w:rsid w:val="00762C74"/>
    <w:rsid w:val="00786EC0"/>
    <w:rsid w:val="007D1690"/>
    <w:rsid w:val="007E22AD"/>
    <w:rsid w:val="00817416"/>
    <w:rsid w:val="00842779"/>
    <w:rsid w:val="00852BFA"/>
    <w:rsid w:val="00865F67"/>
    <w:rsid w:val="00881A7B"/>
    <w:rsid w:val="008840E5"/>
    <w:rsid w:val="00887B3E"/>
    <w:rsid w:val="008C2AC6"/>
    <w:rsid w:val="00930C23"/>
    <w:rsid w:val="0093193B"/>
    <w:rsid w:val="009509D8"/>
    <w:rsid w:val="00950B64"/>
    <w:rsid w:val="00981893"/>
    <w:rsid w:val="009B68DE"/>
    <w:rsid w:val="00A1687D"/>
    <w:rsid w:val="00A43E52"/>
    <w:rsid w:val="00A4678D"/>
    <w:rsid w:val="00A778C7"/>
    <w:rsid w:val="00AB441E"/>
    <w:rsid w:val="00AB6293"/>
    <w:rsid w:val="00AE0928"/>
    <w:rsid w:val="00AF3B82"/>
    <w:rsid w:val="00AF49BB"/>
    <w:rsid w:val="00B12E95"/>
    <w:rsid w:val="00B22876"/>
    <w:rsid w:val="00B558F0"/>
    <w:rsid w:val="00BD48FE"/>
    <w:rsid w:val="00BD7BD8"/>
    <w:rsid w:val="00BE6ADC"/>
    <w:rsid w:val="00C05BFE"/>
    <w:rsid w:val="00C23CD4"/>
    <w:rsid w:val="00C61C0C"/>
    <w:rsid w:val="00C72961"/>
    <w:rsid w:val="00C941CB"/>
    <w:rsid w:val="00CC2357"/>
    <w:rsid w:val="00CF0030"/>
    <w:rsid w:val="00CF071A"/>
    <w:rsid w:val="00D01A50"/>
    <w:rsid w:val="00D058B8"/>
    <w:rsid w:val="00D56C11"/>
    <w:rsid w:val="00D834A0"/>
    <w:rsid w:val="00D872DF"/>
    <w:rsid w:val="00D91E21"/>
    <w:rsid w:val="00DA7FCD"/>
    <w:rsid w:val="00DC1BBE"/>
    <w:rsid w:val="00E365E1"/>
    <w:rsid w:val="00E820A4"/>
    <w:rsid w:val="00EB006A"/>
    <w:rsid w:val="00EB385B"/>
    <w:rsid w:val="00EB4772"/>
    <w:rsid w:val="00ED169E"/>
    <w:rsid w:val="00ED4235"/>
    <w:rsid w:val="00F04346"/>
    <w:rsid w:val="00F075DC"/>
    <w:rsid w:val="00F149E9"/>
    <w:rsid w:val="00F5134D"/>
    <w:rsid w:val="00F74202"/>
    <w:rsid w:val="00F8637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ABF5B7"/>
  <w15:chartTrackingRefBased/>
  <w15:docId w15:val="{574F61AC-ED14-4EB9-A43D-17C6B3B7D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C560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1C5609"/>
    <w:pPr>
      <w:keepNext/>
      <w:spacing w:after="480"/>
      <w:jc w:val="center"/>
    </w:pPr>
    <w:rPr>
      <w:rFonts w:ascii="Arial" w:hAnsi="Arial" w:cs="Arial"/>
      <w:b/>
    </w:rPr>
  </w:style>
  <w:style w:type="paragraph" w:customStyle="1" w:styleId="NormalHanging12a">
    <w:name w:val="NormalHanging12a"/>
    <w:basedOn w:val="Normal"/>
    <w:link w:val="NormalHanging12aChar"/>
    <w:rsid w:val="001C5609"/>
    <w:pPr>
      <w:spacing w:after="240"/>
      <w:ind w:left="567" w:hanging="567"/>
    </w:pPr>
  </w:style>
  <w:style w:type="paragraph" w:styleId="Header">
    <w:name w:val="header"/>
    <w:basedOn w:val="Normal"/>
    <w:link w:val="HeaderChar"/>
    <w:rsid w:val="001C5609"/>
    <w:pPr>
      <w:tabs>
        <w:tab w:val="center" w:pos="4513"/>
        <w:tab w:val="right" w:pos="9026"/>
      </w:tabs>
    </w:pPr>
  </w:style>
  <w:style w:type="character" w:customStyle="1" w:styleId="HeaderChar">
    <w:name w:val="Header Char"/>
    <w:basedOn w:val="DefaultParagraphFont"/>
    <w:link w:val="Header"/>
    <w:rsid w:val="001C5609"/>
    <w:rPr>
      <w:sz w:val="24"/>
      <w:lang w:val="sl-SI"/>
    </w:rPr>
  </w:style>
  <w:style w:type="paragraph" w:customStyle="1" w:styleId="EPFooter">
    <w:name w:val="EPFooter"/>
    <w:basedOn w:val="Normal"/>
    <w:rsid w:val="001C5609"/>
    <w:pPr>
      <w:tabs>
        <w:tab w:val="center" w:pos="4535"/>
        <w:tab w:val="right" w:pos="9071"/>
      </w:tabs>
      <w:spacing w:before="240" w:after="240"/>
    </w:pPr>
    <w:rPr>
      <w:color w:val="010000"/>
      <w:sz w:val="22"/>
    </w:rPr>
  </w:style>
  <w:style w:type="paragraph" w:customStyle="1" w:styleId="EPComma">
    <w:name w:val="EPComma"/>
    <w:basedOn w:val="Normal"/>
    <w:rsid w:val="001C5609"/>
    <w:pPr>
      <w:spacing w:before="480" w:after="240"/>
    </w:pPr>
  </w:style>
  <w:style w:type="character" w:styleId="Hyperlink">
    <w:name w:val="Hyperlink"/>
    <w:basedOn w:val="DefaultParagraphFont"/>
    <w:uiPriority w:val="99"/>
    <w:rsid w:val="001C5609"/>
    <w:rPr>
      <w:color w:val="0563C1" w:themeColor="hyperlink"/>
      <w:u w:val="single"/>
    </w:rPr>
  </w:style>
  <w:style w:type="character" w:customStyle="1" w:styleId="NormalHanging12aChar">
    <w:name w:val="NormalHanging12a Char"/>
    <w:basedOn w:val="DefaultParagraphFont"/>
    <w:link w:val="NormalHanging12a"/>
    <w:locked/>
    <w:rsid w:val="001C5609"/>
    <w:rPr>
      <w:sz w:val="24"/>
      <w:lang w:val="sl-SI"/>
    </w:rPr>
  </w:style>
  <w:style w:type="character" w:customStyle="1" w:styleId="PageHeadingChar">
    <w:name w:val="PageHeading Char"/>
    <w:basedOn w:val="DefaultParagraphFont"/>
    <w:link w:val="PageHeading"/>
    <w:locked/>
    <w:rsid w:val="001C5609"/>
    <w:rPr>
      <w:rFonts w:ascii="Arial" w:hAnsi="Arial" w:cs="Arial"/>
      <w:b/>
      <w:sz w:val="24"/>
      <w:lang w:val="sl-SI"/>
    </w:rPr>
  </w:style>
  <w:style w:type="paragraph" w:customStyle="1" w:styleId="Titreobjet">
    <w:name w:val="Titre objet"/>
    <w:basedOn w:val="Normal"/>
    <w:next w:val="Normal"/>
    <w:rsid w:val="001C5609"/>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1C5609"/>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1C560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C5609"/>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1C5609"/>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1C5609"/>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1C5609"/>
    <w:pPr>
      <w:widowControl/>
      <w:tabs>
        <w:tab w:val="left" w:pos="4252"/>
      </w:tabs>
    </w:pPr>
    <w:rPr>
      <w:rFonts w:eastAsiaTheme="minorHAnsi"/>
      <w:i/>
      <w:szCs w:val="22"/>
      <w:lang w:eastAsia="en-US"/>
    </w:rPr>
  </w:style>
  <w:style w:type="paragraph" w:customStyle="1" w:styleId="Titrearticle">
    <w:name w:val="Titre article"/>
    <w:basedOn w:val="Normal"/>
    <w:next w:val="Normal"/>
    <w:rsid w:val="001C5609"/>
    <w:pPr>
      <w:keepNext/>
      <w:widowControl/>
      <w:spacing w:before="360" w:after="120"/>
      <w:jc w:val="center"/>
    </w:pPr>
    <w:rPr>
      <w:rFonts w:eastAsiaTheme="minorHAnsi"/>
      <w:i/>
      <w:szCs w:val="22"/>
      <w:lang w:eastAsia="en-US"/>
    </w:rPr>
  </w:style>
  <w:style w:type="paragraph" w:styleId="Revision">
    <w:name w:val="Revision"/>
    <w:hidden/>
    <w:uiPriority w:val="99"/>
    <w:semiHidden/>
    <w:rsid w:val="007002ED"/>
    <w:rPr>
      <w:sz w:val="24"/>
      <w:lang w:val="sl-SI"/>
    </w:rPr>
  </w:style>
  <w:style w:type="paragraph" w:styleId="Footer">
    <w:name w:val="footer"/>
    <w:basedOn w:val="Normal"/>
    <w:link w:val="FooterChar"/>
    <w:rsid w:val="007002ED"/>
    <w:pPr>
      <w:tabs>
        <w:tab w:val="center" w:pos="4513"/>
        <w:tab w:val="right" w:pos="9026"/>
      </w:tabs>
    </w:pPr>
  </w:style>
  <w:style w:type="character" w:customStyle="1" w:styleId="FooterChar">
    <w:name w:val="Footer Char"/>
    <w:basedOn w:val="DefaultParagraphFont"/>
    <w:link w:val="Footer"/>
    <w:rsid w:val="007002ED"/>
    <w:rPr>
      <w:sz w:val="24"/>
      <w:lang w:val="sl-SI"/>
    </w:rPr>
  </w:style>
  <w:style w:type="character" w:styleId="CommentReference">
    <w:name w:val="annotation reference"/>
    <w:basedOn w:val="DefaultParagraphFont"/>
    <w:rsid w:val="00105901"/>
    <w:rPr>
      <w:sz w:val="16"/>
      <w:szCs w:val="16"/>
    </w:rPr>
  </w:style>
  <w:style w:type="paragraph" w:styleId="CommentText">
    <w:name w:val="annotation text"/>
    <w:basedOn w:val="Normal"/>
    <w:link w:val="CommentTextChar"/>
    <w:rsid w:val="00105901"/>
    <w:rPr>
      <w:sz w:val="20"/>
    </w:rPr>
  </w:style>
  <w:style w:type="character" w:customStyle="1" w:styleId="CommentTextChar">
    <w:name w:val="Comment Text Char"/>
    <w:basedOn w:val="DefaultParagraphFont"/>
    <w:link w:val="CommentText"/>
    <w:rsid w:val="00105901"/>
    <w:rPr>
      <w:lang w:val="sl-SI"/>
    </w:rPr>
  </w:style>
  <w:style w:type="paragraph" w:styleId="CommentSubject">
    <w:name w:val="annotation subject"/>
    <w:basedOn w:val="CommentText"/>
    <w:next w:val="CommentText"/>
    <w:link w:val="CommentSubjectChar"/>
    <w:rsid w:val="00105901"/>
    <w:rPr>
      <w:b/>
      <w:bCs/>
    </w:rPr>
  </w:style>
  <w:style w:type="character" w:customStyle="1" w:styleId="CommentSubjectChar">
    <w:name w:val="Comment Subject Char"/>
    <w:basedOn w:val="CommentTextChar"/>
    <w:link w:val="CommentSubject"/>
    <w:rsid w:val="00105901"/>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943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1528</Words>
  <Characters>9317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2026-05-12T08:13:00Z</dcterms:created>
  <dcterms:modified xsi:type="dcterms:W3CDTF">2026-05-12T08:13:00Z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P10_TA(2026)0102_</vt:lpwstr>
  </property>
  <property fmtid="{D5CDD505-2E9C-101B-9397-08002B2CF9AE}" pid="4" name="&lt;Type&gt;">
    <vt:lpwstr>RR</vt:lpwstr>
  </property>
</Properties>
</file>