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0618" w14:paraId="61EE6A2B" w14:textId="77777777" w:rsidTr="0010095E">
        <w:trPr>
          <w:trHeight w:hRule="exact" w:val="1418"/>
        </w:trPr>
        <w:tc>
          <w:tcPr>
            <w:tcW w:w="6804" w:type="dxa"/>
            <w:shd w:val="clear" w:color="auto" w:fill="auto"/>
            <w:vAlign w:val="center"/>
          </w:tcPr>
          <w:p w14:paraId="2B3D35E5" w14:textId="77777777" w:rsidR="00751A4A" w:rsidRPr="00310618" w:rsidRDefault="007D2D69" w:rsidP="0010095E">
            <w:pPr>
              <w:pStyle w:val="EPName"/>
            </w:pPr>
            <w:r w:rsidRPr="00310618">
              <w:t>Europaparlamentet</w:t>
            </w:r>
          </w:p>
          <w:p w14:paraId="66494BCF" w14:textId="77777777" w:rsidR="00751A4A" w:rsidRPr="00310618" w:rsidRDefault="005F1B17" w:rsidP="005F1B17">
            <w:pPr>
              <w:pStyle w:val="EPTerm"/>
              <w:rPr>
                <w:rStyle w:val="HideTWBExt"/>
                <w:noProof w:val="0"/>
                <w:vanish w:val="0"/>
                <w:color w:val="auto"/>
              </w:rPr>
            </w:pPr>
            <w:r w:rsidRPr="00310618">
              <w:t>2024</w:t>
            </w:r>
            <w:r w:rsidR="00817416" w:rsidRPr="00310618">
              <w:t>-202</w:t>
            </w:r>
            <w:r w:rsidRPr="00310618">
              <w:t>9</w:t>
            </w:r>
          </w:p>
        </w:tc>
        <w:tc>
          <w:tcPr>
            <w:tcW w:w="2268" w:type="dxa"/>
            <w:shd w:val="clear" w:color="auto" w:fill="auto"/>
          </w:tcPr>
          <w:p w14:paraId="24EE3831" w14:textId="77777777" w:rsidR="00751A4A" w:rsidRPr="00310618" w:rsidRDefault="00187494" w:rsidP="0010095E">
            <w:pPr>
              <w:pStyle w:val="EPLogo"/>
            </w:pPr>
            <w:r w:rsidRPr="00310618">
              <w:rPr>
                <w:noProof/>
                <w:lang w:eastAsia="ja-JP"/>
              </w:rPr>
              <w:drawing>
                <wp:inline distT="0" distB="0" distL="0" distR="0" wp14:anchorId="01958668" wp14:editId="6051EA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6BE092" w14:textId="77777777" w:rsidR="00D058B8" w:rsidRPr="00310618" w:rsidRDefault="00D058B8" w:rsidP="004C5D52">
      <w:pPr>
        <w:pStyle w:val="LineTop"/>
      </w:pPr>
    </w:p>
    <w:p w14:paraId="4F92F88F" w14:textId="77777777" w:rsidR="00680577" w:rsidRPr="00310618" w:rsidRDefault="007D2D69" w:rsidP="00680577">
      <w:pPr>
        <w:pStyle w:val="EPBodyTA1"/>
      </w:pPr>
      <w:r w:rsidRPr="00310618">
        <w:t>ANTAGNA TEXTER</w:t>
      </w:r>
    </w:p>
    <w:p w14:paraId="545676A4" w14:textId="77777777" w:rsidR="00D058B8" w:rsidRPr="00310618" w:rsidRDefault="00D058B8" w:rsidP="00D058B8">
      <w:pPr>
        <w:pStyle w:val="LineBottom"/>
      </w:pPr>
    </w:p>
    <w:p w14:paraId="1412529D" w14:textId="5BF147EC" w:rsidR="007D2D69" w:rsidRPr="00310618" w:rsidRDefault="007D2D69" w:rsidP="007D2D69">
      <w:pPr>
        <w:pStyle w:val="ATHeading1"/>
      </w:pPr>
      <w:bookmarkStart w:id="0" w:name="TANumber"/>
      <w:r w:rsidRPr="00310618">
        <w:t>P10_TA(2026)0</w:t>
      </w:r>
      <w:bookmarkEnd w:id="0"/>
      <w:r w:rsidR="00A42FEA">
        <w:t>102</w:t>
      </w:r>
    </w:p>
    <w:p w14:paraId="1DF80D21" w14:textId="77777777" w:rsidR="007D2D69" w:rsidRPr="00310618" w:rsidRDefault="007D2D69" w:rsidP="007D2D69">
      <w:pPr>
        <w:pStyle w:val="ATHeading2"/>
      </w:pPr>
      <w:bookmarkStart w:id="1" w:name="title"/>
      <w:r w:rsidRPr="00310618">
        <w:t>Utnyttjande av Europeiska fonden för justering för globaliseringseffekter för uppsagda arbetstagare efter en ansökan från Belgien – EGF/2025/007 BE/Casa</w:t>
      </w:r>
      <w:bookmarkEnd w:id="1"/>
    </w:p>
    <w:p w14:paraId="501C7863" w14:textId="77777777" w:rsidR="007D2D69" w:rsidRPr="00310618" w:rsidRDefault="007D2D69" w:rsidP="007D2D69">
      <w:pPr>
        <w:rPr>
          <w:i/>
          <w:vanish/>
        </w:rPr>
      </w:pPr>
      <w:r w:rsidRPr="00310618">
        <w:rPr>
          <w:i/>
        </w:rPr>
        <w:fldChar w:fldCharType="begin"/>
      </w:r>
      <w:r w:rsidRPr="00310618">
        <w:rPr>
          <w:i/>
        </w:rPr>
        <w:instrText xml:space="preserve"> TC"(</w:instrText>
      </w:r>
      <w:bookmarkStart w:id="2" w:name="DocNumber"/>
      <w:r w:rsidRPr="00310618">
        <w:rPr>
          <w:i/>
        </w:rPr>
        <w:instrText>A10-0061/2026</w:instrText>
      </w:r>
      <w:bookmarkEnd w:id="2"/>
      <w:r w:rsidRPr="00310618">
        <w:rPr>
          <w:i/>
        </w:rPr>
        <w:instrText xml:space="preserve"> - Föredragande: Hélder Sousa Silva)"\l3 \n&gt; \* MERGEFORMAT </w:instrText>
      </w:r>
      <w:r w:rsidRPr="00310618">
        <w:rPr>
          <w:i/>
        </w:rPr>
        <w:fldChar w:fldCharType="end"/>
      </w:r>
    </w:p>
    <w:p w14:paraId="6F436027" w14:textId="77777777" w:rsidR="007D2D69" w:rsidRPr="00310618" w:rsidRDefault="007D2D69" w:rsidP="007D2D69">
      <w:pPr>
        <w:rPr>
          <w:vanish/>
        </w:rPr>
      </w:pPr>
      <w:bookmarkStart w:id="3" w:name="Commission"/>
      <w:r w:rsidRPr="00310618">
        <w:rPr>
          <w:vanish/>
        </w:rPr>
        <w:t>Budgetutskottet</w:t>
      </w:r>
      <w:bookmarkEnd w:id="3"/>
    </w:p>
    <w:p w14:paraId="06CCB17B" w14:textId="77777777" w:rsidR="007D2D69" w:rsidRPr="00310618" w:rsidRDefault="007D2D69" w:rsidP="007D2D69">
      <w:pPr>
        <w:rPr>
          <w:vanish/>
        </w:rPr>
      </w:pPr>
      <w:bookmarkStart w:id="4" w:name="PE"/>
      <w:r w:rsidRPr="00310618">
        <w:rPr>
          <w:vanish/>
        </w:rPr>
        <w:t>PE784.477</w:t>
      </w:r>
      <w:bookmarkEnd w:id="4"/>
    </w:p>
    <w:p w14:paraId="75C17227" w14:textId="117B5466" w:rsidR="007D2D69" w:rsidRPr="00310618" w:rsidRDefault="007D2D69" w:rsidP="007D2D69">
      <w:pPr>
        <w:pStyle w:val="ATHeading3"/>
      </w:pPr>
      <w:bookmarkStart w:id="5" w:name="Sujet"/>
      <w:r w:rsidRPr="00310618">
        <w:t xml:space="preserve">Europaparlamentets resolution av den </w:t>
      </w:r>
      <w:r w:rsidR="00162190" w:rsidRPr="00310618">
        <w:t>26 mars</w:t>
      </w:r>
      <w:r w:rsidRPr="00310618">
        <w:t xml:space="preserve"> 2026 om förslaget till Europaparlamentets och rådets beslut om utnyttjande av Europeiska fonden för justering för globaliseringseffekter för uppsagda arbetstagare efter en ansökan från Belgien – EGF/2025/007 BE/Casa</w:t>
      </w:r>
      <w:bookmarkEnd w:id="5"/>
      <w:r w:rsidRPr="00310618">
        <w:t xml:space="preserve"> </w:t>
      </w:r>
      <w:bookmarkStart w:id="6" w:name="References"/>
      <w:r w:rsidRPr="00310618">
        <w:t>(COM(2026)0003 – C10-0025/2026 – 2026/0038(BUD))</w:t>
      </w:r>
      <w:bookmarkEnd w:id="6"/>
    </w:p>
    <w:p w14:paraId="0544A4C8" w14:textId="77777777" w:rsidR="000B6FD7" w:rsidRPr="00310618" w:rsidRDefault="000B6FD7" w:rsidP="000B6FD7">
      <w:pPr>
        <w:pStyle w:val="EPComma"/>
        <w:spacing w:before="600" w:after="360"/>
        <w:rPr>
          <w:noProof/>
        </w:rPr>
      </w:pPr>
      <w:r w:rsidRPr="00310618">
        <w:rPr>
          <w:i/>
        </w:rPr>
        <w:t>Europaparlamentet utfärdar denna resolution</w:t>
      </w:r>
    </w:p>
    <w:p w14:paraId="357232A5" w14:textId="77777777" w:rsidR="000B6FD7" w:rsidRPr="00310618" w:rsidRDefault="000B6FD7" w:rsidP="000B6FD7">
      <w:pPr>
        <w:pStyle w:val="NormalHanging12a"/>
        <w:rPr>
          <w:noProof/>
        </w:rPr>
      </w:pPr>
      <w:r w:rsidRPr="00310618">
        <w:t>–</w:t>
      </w:r>
      <w:r w:rsidRPr="00310618">
        <w:tab/>
        <w:t>med beaktande av kommissionens förslag till Europaparlamentet och rådet (COM(2026)0003 – C10-0025/2026),</w:t>
      </w:r>
    </w:p>
    <w:p w14:paraId="790DC14D" w14:textId="77777777" w:rsidR="000B6FD7" w:rsidRPr="00310618" w:rsidRDefault="000B6FD7" w:rsidP="000B6FD7">
      <w:pPr>
        <w:pStyle w:val="NormalHanging12a"/>
      </w:pPr>
      <w:r w:rsidRPr="00310618">
        <w:t>–</w:t>
      </w:r>
      <w:r w:rsidRPr="00310618">
        <w:tab/>
        <w:t>med beaktande av Europaparlamentets och rådets förordning (EU) 2021/691 av den 28 april 2021 om Europeiska fonden för justering för globaliseringseffekter för uppsagda arbetstagare (EGF) och om upphävande av förordning (EU) nr 1309/2013</w:t>
      </w:r>
      <w:r w:rsidRPr="00310618">
        <w:rPr>
          <w:vertAlign w:val="superscript"/>
        </w:rPr>
        <w:footnoteReference w:id="1"/>
      </w:r>
      <w:r w:rsidRPr="00310618">
        <w:t xml:space="preserve"> (EGF-förordningen), </w:t>
      </w:r>
    </w:p>
    <w:p w14:paraId="1FBD8D41" w14:textId="77777777" w:rsidR="000B6FD7" w:rsidRPr="00310618" w:rsidRDefault="000B6FD7" w:rsidP="000B6FD7">
      <w:pPr>
        <w:pStyle w:val="NormalHanging12a"/>
        <w:rPr>
          <w:noProof/>
        </w:rPr>
      </w:pPr>
      <w:r w:rsidRPr="00310618">
        <w:t>–</w:t>
      </w:r>
      <w:r w:rsidRPr="00310618">
        <w:tab/>
        <w:t>med beaktande av rådets förordning (EU, Euratom) 2020/2093 av den 17 december 2020 om den fleråriga budgetramen för 2021–2027</w:t>
      </w:r>
      <w:r w:rsidRPr="00310618">
        <w:rPr>
          <w:noProof/>
          <w:vertAlign w:val="superscript"/>
        </w:rPr>
        <w:footnoteReference w:id="2"/>
      </w:r>
      <w:r w:rsidRPr="00310618">
        <w:t xml:space="preserve"> ändrad genom förordning (EU, Euratom) 2024/765</w:t>
      </w:r>
      <w:r w:rsidRPr="00310618">
        <w:rPr>
          <w:noProof/>
          <w:vertAlign w:val="superscript"/>
        </w:rPr>
        <w:footnoteReference w:id="3"/>
      </w:r>
      <w:r w:rsidRPr="00310618">
        <w:t xml:space="preserve">, särskilt artikel 8, </w:t>
      </w:r>
    </w:p>
    <w:p w14:paraId="45E0A7D7" w14:textId="77777777" w:rsidR="000B6FD7" w:rsidRPr="00310618" w:rsidRDefault="000B6FD7" w:rsidP="000B6FD7">
      <w:pPr>
        <w:pStyle w:val="NormalHanging12a"/>
        <w:rPr>
          <w:noProof/>
        </w:rPr>
      </w:pPr>
      <w:r w:rsidRPr="00310618">
        <w:t>–</w:t>
      </w:r>
      <w:r w:rsidRPr="00310618">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310618">
        <w:rPr>
          <w:rStyle w:val="FootnoteReference"/>
          <w:noProof/>
        </w:rPr>
        <w:footnoteReference w:id="4"/>
      </w:r>
      <w:r w:rsidRPr="00310618">
        <w:t>, särskilt punkt 9,</w:t>
      </w:r>
    </w:p>
    <w:p w14:paraId="5693C9E8" w14:textId="77777777" w:rsidR="000B6FD7" w:rsidRPr="00310618" w:rsidRDefault="000B6FD7" w:rsidP="000B6FD7">
      <w:pPr>
        <w:pStyle w:val="NormalHanging12a"/>
      </w:pPr>
      <w:r w:rsidRPr="00310618">
        <w:t>–</w:t>
      </w:r>
      <w:r w:rsidRPr="00310618">
        <w:tab/>
        <w:t>med beaktande av den europeiska pelaren för sociala rättigheter,</w:t>
      </w:r>
    </w:p>
    <w:p w14:paraId="7EB5AB36" w14:textId="77777777" w:rsidR="000B6FD7" w:rsidRPr="00310618" w:rsidRDefault="000B6FD7" w:rsidP="000B6FD7">
      <w:pPr>
        <w:pStyle w:val="NormalHanging12a"/>
      </w:pPr>
      <w:r w:rsidRPr="00310618">
        <w:lastRenderedPageBreak/>
        <w:t>–</w:t>
      </w:r>
      <w:r w:rsidRPr="00310618">
        <w:tab/>
        <w:t>med beaktande av skrivelsen från utskottet för sysselsättning och sociala frågor.</w:t>
      </w:r>
    </w:p>
    <w:p w14:paraId="1A761FF8" w14:textId="43CA63F1" w:rsidR="000B6FD7" w:rsidRPr="00310618" w:rsidRDefault="000B6FD7" w:rsidP="00162190">
      <w:pPr>
        <w:pStyle w:val="NormalHanging12a"/>
        <w:spacing w:after="360"/>
      </w:pPr>
      <w:r w:rsidRPr="00310618">
        <w:t>–</w:t>
      </w:r>
      <w:r w:rsidRPr="00310618">
        <w:tab/>
        <w:t>med beaktande av betänkandet från budgetutskottet (A10-0061/2026), och av följande skäl:</w:t>
      </w:r>
    </w:p>
    <w:p w14:paraId="40B52F8E" w14:textId="77777777" w:rsidR="000B6FD7" w:rsidRPr="00310618" w:rsidRDefault="000B6FD7" w:rsidP="000B6FD7">
      <w:pPr>
        <w:pStyle w:val="NormalHanging12a"/>
        <w:spacing w:after="120"/>
        <w:rPr>
          <w:noProof/>
        </w:rPr>
      </w:pPr>
      <w:r w:rsidRPr="00310618">
        <w:t>A.</w:t>
      </w:r>
      <w:r w:rsidRPr="00310618">
        <w:tab/>
        <w:t>Unionen har inrättat lagstiftnings- och budgetinstrument för att ge kompletterande stöd till arbetstagare som drabbas av effekterna av genomgripande strukturförändringar inom världshandeln och för att underlätta deras återinträde på arbetsmarknaden. Detta stöd ges i form av ekonomiskt stöd till arbetstagare.</w:t>
      </w:r>
    </w:p>
    <w:p w14:paraId="01EE38DA" w14:textId="7632B339" w:rsidR="000B6FD7" w:rsidRPr="00310618" w:rsidRDefault="000B6FD7" w:rsidP="000B6FD7">
      <w:pPr>
        <w:pStyle w:val="NormalHanging12a"/>
        <w:keepNext/>
        <w:keepLines/>
        <w:widowControl/>
      </w:pPr>
      <w:r w:rsidRPr="00310618">
        <w:t>B.</w:t>
      </w:r>
      <w:r w:rsidRPr="00310618">
        <w:tab/>
        <w:t>Belgien lämnade in ansökan EGF/2025/007 BE/Casa om ekonomiskt bidrag från EGF efter uppsägningar av 416 arbetstagare</w:t>
      </w:r>
      <w:r w:rsidRPr="00310618">
        <w:rPr>
          <w:vertAlign w:val="superscript"/>
        </w:rPr>
        <w:footnoteReference w:id="5"/>
      </w:r>
      <w:r w:rsidRPr="00310618">
        <w:t xml:space="preserve"> vid Casa International NV (Casa) i Belgien, inom de näringsgrenar som i Nace rev. 2 klassificeras som huvudgrupp 47 (detaljhandel förutom motorfordon och motorcyklar) och huvudgrupp 52 (magasinering och stödtjänster till transport) i provinsen Antwerpen (BE21) i Flandern, under referensperioden 6 mars</w:t>
      </w:r>
      <w:r w:rsidR="00246A05">
        <w:t xml:space="preserve"> 2025</w:t>
      </w:r>
      <w:r w:rsidRPr="00310618">
        <w:t xml:space="preserve">–6 juli 2025. </w:t>
      </w:r>
    </w:p>
    <w:p w14:paraId="2B07A3A4" w14:textId="77777777" w:rsidR="000B6FD7" w:rsidRPr="00310618" w:rsidRDefault="000B6FD7" w:rsidP="000B6FD7">
      <w:pPr>
        <w:pStyle w:val="NormalHanging12a"/>
      </w:pPr>
      <w:r w:rsidRPr="00310618">
        <w:t>C.</w:t>
      </w:r>
      <w:r w:rsidRPr="00310618">
        <w:tab/>
        <w:t xml:space="preserve">Ansökan baseras på insatskriteriet i artikel 4.2 a i EGF-förordningen. När det gäller uppsägningarna avser 256 uppsägningar Casa International NV (detaljhandel), med 65 försäljningsställen i hela Belgien, och 159 uppsägningar avser Casa Logistics NV (magasinering), som ansvarar för lagring och distribution till dessa försäljningsställen. </w:t>
      </w:r>
    </w:p>
    <w:p w14:paraId="5F1D9701" w14:textId="2A737B6E" w:rsidR="000B6FD7" w:rsidRPr="00310618" w:rsidRDefault="000B6FD7" w:rsidP="000B6FD7">
      <w:pPr>
        <w:pStyle w:val="NormalHanging12a"/>
        <w:rPr>
          <w:noProof/>
        </w:rPr>
      </w:pPr>
      <w:r w:rsidRPr="00310618">
        <w:t>D.</w:t>
      </w:r>
      <w:r w:rsidRPr="00310618">
        <w:tab/>
        <w:t xml:space="preserve">Casa ansökte om konkurs den 6 mars 2025. Antalet konkurser har ökat i Belgien sedan 2022, särskilt inom detaljhandeln, som genomgår en djupgående strukturomvandling till följd av den ökande e-handeln och förändrade konsumentvanor. Kvinnor utgör 67,5 % av den berörda arbetskraften i detta fall. Parlamentet betonar därför att stödåtgärderna inom ramen för EGF bör ta hänsyn till de särskilda behov och hinder dessa kvinnor möter när </w:t>
      </w:r>
      <w:r w:rsidR="006F3E38" w:rsidRPr="00310618">
        <w:t xml:space="preserve">det gäller </w:t>
      </w:r>
      <w:r w:rsidRPr="00310618">
        <w:t>återinträde på arbetsmarknaden.</w:t>
      </w:r>
    </w:p>
    <w:p w14:paraId="0D36FCB3" w14:textId="77777777" w:rsidR="000B6FD7" w:rsidRPr="00310618" w:rsidRDefault="000B6FD7" w:rsidP="000B6FD7">
      <w:pPr>
        <w:pStyle w:val="NormalHanging12a"/>
      </w:pPr>
      <w:r w:rsidRPr="00310618">
        <w:t>E.</w:t>
      </w:r>
      <w:r w:rsidRPr="00310618">
        <w:tab/>
        <w:t>VDAB tillhandahåller den nationella förfinansieringen och medfinansieringen av åtgärderna.</w:t>
      </w:r>
    </w:p>
    <w:p w14:paraId="118911C2" w14:textId="77777777" w:rsidR="000B6FD7" w:rsidRPr="00310618" w:rsidRDefault="000B6FD7" w:rsidP="000B6FD7">
      <w:pPr>
        <w:pStyle w:val="NormalHanging12a"/>
      </w:pPr>
      <w:r w:rsidRPr="00310618">
        <w:t>F.</w:t>
      </w:r>
      <w:r w:rsidRPr="00310618">
        <w:tab/>
        <w:t>De krav i unionens lagstiftning och i den nationella lagstiftningen som rör kollektiva uppsägningar är uppfyllda av de berörda företagen.</w:t>
      </w:r>
    </w:p>
    <w:p w14:paraId="527AF1D4" w14:textId="77777777" w:rsidR="000B6FD7" w:rsidRPr="00310618" w:rsidRDefault="000B6FD7" w:rsidP="000B6FD7">
      <w:pPr>
        <w:pStyle w:val="NormalHanging12a"/>
      </w:pPr>
      <w:r w:rsidRPr="00310618">
        <w:t>G.</w:t>
      </w:r>
      <w:r w:rsidRPr="00310618">
        <w:tab/>
        <w:t>Ekonomiskt stöd från EGF bör i första hand inriktas på aktiva arbetsmarknadsåtgärder och individanpassade tjänster som syftar till att snabbt återintegrera stödmottagarna på arbetsmarknaden och samtidigt erbjuda dem kompetensutveckling för att underlätta deras tillträde till arbetsmarknaden.</w:t>
      </w:r>
    </w:p>
    <w:p w14:paraId="519C2E40" w14:textId="77777777" w:rsidR="000B6FD7" w:rsidRPr="00310618" w:rsidRDefault="000B6FD7" w:rsidP="000B6FD7">
      <w:pPr>
        <w:pStyle w:val="NormalHanging12a"/>
        <w:spacing w:after="480"/>
      </w:pPr>
      <w:r w:rsidRPr="00310618">
        <w:t>H.</w:t>
      </w:r>
      <w:r w:rsidRPr="00310618">
        <w:tab/>
        <w:t>EGF får inte överstiga ett årligt maximibelopp på 30 miljoner EUR (i 2018 års priser)</w:t>
      </w:r>
      <w:r w:rsidRPr="00310618">
        <w:rPr>
          <w:rStyle w:val="FootnoteReference"/>
        </w:rPr>
        <w:footnoteReference w:id="6"/>
      </w:r>
      <w:r w:rsidRPr="00310618">
        <w:t xml:space="preserve">. </w:t>
      </w:r>
    </w:p>
    <w:p w14:paraId="6FA73E17" w14:textId="77777777" w:rsidR="000B6FD7" w:rsidRPr="00310618" w:rsidRDefault="000B6FD7" w:rsidP="000B6FD7">
      <w:pPr>
        <w:pStyle w:val="NormalHanging12a"/>
      </w:pPr>
      <w:r w:rsidRPr="00310618">
        <w:t>1.</w:t>
      </w:r>
      <w:r w:rsidRPr="00310618">
        <w:tab/>
        <w:t>Europaparlamentet delar kommissionens åsikt att villkoren i EGF-förordningen, särskilt artikel 4.2 a, är uppfyllda och att Belgien är berättigat till ekonomiskt stöd på 1 916 733 EUR enligt den förordningen, vilket utgör 85 % av de totala kostnaderna på 2 254 980 EUR, bestående av utgifter för individanpassade tjänster på 2 168 980 EUR och utgifter för förberedande åtgärder samt för förvaltning, information och marknadsföring, kontroll och rapportering på 86 000 EUR.</w:t>
      </w:r>
    </w:p>
    <w:p w14:paraId="7E05E752" w14:textId="77777777" w:rsidR="000B6FD7" w:rsidRPr="00310618" w:rsidRDefault="000B6FD7" w:rsidP="000B6FD7">
      <w:pPr>
        <w:pStyle w:val="NormalHanging12a"/>
      </w:pPr>
      <w:r w:rsidRPr="00310618">
        <w:t>2.</w:t>
      </w:r>
      <w:r w:rsidRPr="00310618">
        <w:tab/>
        <w:t xml:space="preserve">Europaparlamentet noterar att de belgiska myndigheterna lämnade in ansökan </w:t>
      </w:r>
      <w:r w:rsidRPr="00310618">
        <w:lastRenderedPageBreak/>
        <w:t>den 23 september 2025 och att kommissionen, utifrån den ytterligare information som Belgien lämnade, slutförde sin bedömning den 6 februari 2026 och underrättade parlamentet den 11 februari 2026. Parlamentet betonar vikten av att förkorta tiden mellan inlämnandet av en ansökan om stöd från EGF och finansieringsbeslutet, samtidigt som Europaparlamentets rättigheter i egenskap av den ena grenen av budgetmyndigheten skyddas fullt ut.</w:t>
      </w:r>
    </w:p>
    <w:p w14:paraId="43883571" w14:textId="77777777" w:rsidR="000B6FD7" w:rsidRPr="00310618" w:rsidRDefault="000B6FD7" w:rsidP="000B6FD7">
      <w:pPr>
        <w:pStyle w:val="NormalHanging12a"/>
      </w:pPr>
      <w:r w:rsidRPr="00310618">
        <w:t>3.</w:t>
      </w:r>
      <w:r w:rsidRPr="00310618">
        <w:tab/>
        <w:t>Europaparlamentet noterar att ansökan avser arbetstagare vars verksamhet upphörde vid två av Casas företag och att de alla kommer att vara berörda stödmottagare.</w:t>
      </w:r>
    </w:p>
    <w:p w14:paraId="5B77053E" w14:textId="77777777" w:rsidR="000B6FD7" w:rsidRPr="00310618" w:rsidRDefault="000B6FD7" w:rsidP="000B6FD7">
      <w:pPr>
        <w:pStyle w:val="NormalHanging12a"/>
      </w:pPr>
      <w:r w:rsidRPr="00310618">
        <w:t>4.</w:t>
      </w:r>
      <w:r w:rsidRPr="00310618">
        <w:tab/>
        <w:t>Europaparlamentet noterar att Casa under flera år före konkursförklaringen hade ekonomiska svårigheter till följd av den ökande e-handeln, ökad internationell konkurrens och orättvisa konkurrensvillkor, vilket till sist ledde till allvarliga likviditetsbrister och gjorde det omöjligt för företaget att identifiera potentiella köpare. Parlamentet betonar behovet av att förbättra företagsledningens kapacitet att förhindra uppsägningar genom att anpassa sig till den nuvarande geopolitiska situationen och proaktivt hantera större omstruktureringar.</w:t>
      </w:r>
    </w:p>
    <w:p w14:paraId="00110986" w14:textId="77777777" w:rsidR="000B6FD7" w:rsidRPr="00310618" w:rsidRDefault="000B6FD7" w:rsidP="000B6FD7">
      <w:pPr>
        <w:pStyle w:val="NormalHanging12a"/>
        <w:rPr>
          <w:noProof/>
        </w:rPr>
      </w:pPr>
      <w:r w:rsidRPr="00310618">
        <w:t>5.</w:t>
      </w:r>
      <w:r w:rsidRPr="00310618">
        <w:tab/>
        <w:t>Europaparlamentet noterar att uppsagda butiksbiträden har de mest gynnsamma sysselsättningsutsikterna, medan lagerarbetare har svårare att hitta nya jobb och behöver ytterligare stöd genom kompetenshöjning, omskolning eller omplacering. Parlamentet uppmanar de belgiska myndigheterna att tillhandahålla individanpassat stöd för att hjälpa arbetstagarna att övervinna sina begränsningar och hitta nya jobb i överensstämmelse med arbetsmarknadens behov. Parlamentet betonar att återintegrering av uppsagda arbetstagare är avgörande för en framtidssäkrad europeisk ekonomi med en stark industriell bas.</w:t>
      </w:r>
    </w:p>
    <w:p w14:paraId="28A6FFAC" w14:textId="77777777" w:rsidR="000B6FD7" w:rsidRPr="00310618" w:rsidRDefault="000B6FD7" w:rsidP="000B6FD7">
      <w:pPr>
        <w:pStyle w:val="NormalHanging12a"/>
      </w:pPr>
      <w:r w:rsidRPr="00310618">
        <w:t>6.</w:t>
      </w:r>
      <w:r w:rsidRPr="00310618">
        <w:tab/>
        <w:t>Europaparlamentet noterar att ökningen av konkurser under de senaste två åren har haft en negativ inverkan på arbetslösheten i vissa regioner i Belgien, särskilt i Bryssel och Olen (provinsen Antwerpen). Parlamentet noterar att omkring 45 000 arbetstillfällen gick förlorade i Belgien inom 18 månader på grund av konkurser, främst i Flandern. Parlamentet betonar att risken för arbetslöshet i Flandern är mer än dubbelt så hög för personer med låg utbildningsnivå. Parlamentet betonar vikten av ett företagsvänligt klimat som gör det möjligt för företag att förbli konkurrenskraftiga, skapa arbetstillfällen och bidra till hållbar ekonomisk tillväxt.</w:t>
      </w:r>
    </w:p>
    <w:p w14:paraId="29AB207C" w14:textId="77777777" w:rsidR="000B6FD7" w:rsidRPr="00310618" w:rsidRDefault="000B6FD7" w:rsidP="000B6FD7">
      <w:pPr>
        <w:pStyle w:val="NormalHanging12a"/>
      </w:pPr>
      <w:r w:rsidRPr="00310618">
        <w:t>7.</w:t>
      </w:r>
      <w:r w:rsidRPr="00310618">
        <w:tab/>
        <w:t xml:space="preserve">Europaparlamentet påminner om att de individanpassade tjänster som ska tillhandahållas arbetstagarna i samförstånd med experter och arbetsmarknadens parter består av följande åtgärder: informationsmöten med vägledning om återinträde på arbetsmarknaden, omställningstjänster för vägledning av arbetstagare i deras jobbsökande, aktiv rådgivning inriktad på varje jobbsökandes profil, individanpassade program för kompetensutveckling, inklusive it-kompetens, utbildning och omskolning, individuell arbetsplatsförlagd utbildning samt deltagande i jobbmässor. Parlamentet betonar vikten av att främja framtidsinriktade arbetstillfällen av hög kvalitet som stärker konkurrenskraften och stöder den digitala omställningen, och att EGF genomförs korrekt och bidrar till unionens långsiktiga ekonomiska och sociala resiliens. Parlamentet betonar att arbetsmarknadens parter bör involveras under hela genomförandet av EGF-åtgärderna, inbegripet övervakningsfasen, för att säkerställa kvaliteten och relevansen hos det stöd som erbjuds stödmottagarna. </w:t>
      </w:r>
    </w:p>
    <w:p w14:paraId="250A029A" w14:textId="77777777" w:rsidR="000B6FD7" w:rsidRPr="00310618" w:rsidRDefault="000B6FD7" w:rsidP="000B6FD7">
      <w:pPr>
        <w:pStyle w:val="NormalHanging12a"/>
        <w:keepNext/>
        <w:keepLines/>
        <w:widowControl/>
      </w:pPr>
      <w:r w:rsidRPr="00310618">
        <w:lastRenderedPageBreak/>
        <w:t>8.</w:t>
      </w:r>
      <w:r w:rsidRPr="00310618">
        <w:tab/>
        <w:t>Europaparlamentet påminner om att EGF är ett instrument för solidaritet och rättvis omställning, och även om EGF ger stöd efter förlust av arbetstillfällen kan den inte ersätta en proaktiv industripolitik. Parlamentet anser att utnyttjandet av EGF måste ingå i en bredare politisk insats på alla politiska nivåer för att säkerställa att de berörda arbetstagarna hittar lämpliga möjligheter i linje med sina kvalifikationer och färdigheter. Parlamentet betonar att unionens främsta uppgift måste vara att förhindra sådana nedläggningar genom att skapa förutsättningar för att se till att industriproduktionen förblir konkurrenskraftig, samtidigt som man investerar i kompetens för både högkvalificerade arbetstagare och industriarbetare. Parlamentet betonar behovet av att tillhandahålla särskilt stöd som är anpassat till profiler för arbetstagare med låg utbildningsnivå, samtidigt som åtgärder vidtas för att minska konkurser och vidta åtgärder mot sociala skillnader som leder till utestängning av arbetskraft.</w:t>
      </w:r>
    </w:p>
    <w:p w14:paraId="0C12815A" w14:textId="77777777" w:rsidR="000B6FD7" w:rsidRPr="00310618" w:rsidRDefault="000B6FD7" w:rsidP="000B6FD7">
      <w:pPr>
        <w:pStyle w:val="NormalHanging12a"/>
        <w:rPr>
          <w:bCs/>
          <w:iCs/>
        </w:rPr>
      </w:pPr>
      <w:r w:rsidRPr="00310618">
        <w:t>9.</w:t>
      </w:r>
      <w:r w:rsidRPr="00310618">
        <w:tab/>
        <w:t>Europaparlamentet betonar att de belgiska myndigheterna ska säkerställa unionsfinansieringens synlighet och lyfta fram dess mervärde genom att tillhandahålla effektiv och riktad information till stödmottagare, regionala och lokala myndigheter, arbetsmarknadens parter och den bredare allmänheten.</w:t>
      </w:r>
    </w:p>
    <w:p w14:paraId="3CF8FE09" w14:textId="77777777" w:rsidR="000B6FD7" w:rsidRPr="00310618" w:rsidRDefault="000B6FD7" w:rsidP="000B6FD7">
      <w:pPr>
        <w:pStyle w:val="NormalHanging12a"/>
      </w:pPr>
      <w:r w:rsidRPr="00310618">
        <w:t>10.</w:t>
      </w:r>
      <w:r w:rsidRPr="00310618">
        <w:tab/>
        <w:t>Europaparlamentet efterlyser en grundlig slutlig utvärdering av de åtgärder som genomförts, inbegripet tydlig information om hur medlen har använts, om huruvida återintegreringen av arbetstagare på arbetsmarknaden har varit framgångsrik och huruvida åtgärderna har bidragit till att uppnå de mål för vilka EGF inrättades.</w:t>
      </w:r>
    </w:p>
    <w:p w14:paraId="37367CC8" w14:textId="77777777" w:rsidR="000B6FD7" w:rsidRPr="00310618" w:rsidRDefault="000B6FD7" w:rsidP="000B6FD7">
      <w:pPr>
        <w:pStyle w:val="NormalHanging12a"/>
      </w:pPr>
      <w:r w:rsidRPr="00310618">
        <w:t>11.</w:t>
      </w:r>
      <w:r w:rsidRPr="00310618">
        <w:tab/>
        <w:t>Europarlamentet noterar att Belgien började tillhandahålla individanpassade tjänster till de berörda stödmottagarna den 14 mars 2025 och att perioden för berättigande till ekonomiskt bidrag från EGF därför kommer att löpa från och med detta datum och till och med 24 månader efter den dag då finansieringsbeslutet träder i kraft.</w:t>
      </w:r>
    </w:p>
    <w:p w14:paraId="405DD282" w14:textId="77777777" w:rsidR="000B6FD7" w:rsidRPr="00310618" w:rsidRDefault="000B6FD7" w:rsidP="000B6FD7">
      <w:pPr>
        <w:pStyle w:val="NormalHanging12a"/>
        <w:rPr>
          <w:sz w:val="23"/>
          <w:szCs w:val="23"/>
        </w:rPr>
      </w:pPr>
      <w:r w:rsidRPr="00310618">
        <w:t>12.</w:t>
      </w:r>
      <w:r w:rsidRPr="00310618">
        <w:tab/>
        <w:t>Europaparlamentet noterar att Belgien började ådra sig administrativa kostnader för att genomföra EGF den 6 mars 2025, och att dessa utgifter därför ska berättiga till ekonomiskt bidrag från EGF från och med detta datum och till och med 31 månader efter den dag då finansieringsbeslutet träder i kraft.</w:t>
      </w:r>
    </w:p>
    <w:p w14:paraId="6A619480" w14:textId="77777777" w:rsidR="000B6FD7" w:rsidRPr="00310618" w:rsidRDefault="000B6FD7" w:rsidP="000B6FD7">
      <w:pPr>
        <w:pStyle w:val="NormalHanging12a"/>
      </w:pPr>
      <w:r w:rsidRPr="00310618">
        <w:t>13.</w:t>
      </w:r>
      <w:r w:rsidRPr="00310618">
        <w:tab/>
        <w:t>Europaparlamentet noterar att de belgiska myndigheterna har bekräftat att principerna om likabehandling och icke-diskriminering kommer att respekteras när det gäller tillgången till de föreslagna åtgärderna och deras genomförande och att dubbelfinansiering kommer att förhindras.</w:t>
      </w:r>
    </w:p>
    <w:p w14:paraId="3C8AD315" w14:textId="77777777" w:rsidR="000B6FD7" w:rsidRPr="00310618" w:rsidRDefault="000B6FD7" w:rsidP="000B6FD7">
      <w:pPr>
        <w:pStyle w:val="NormalHanging12a"/>
      </w:pPr>
      <w:r w:rsidRPr="00310618">
        <w:t>14.</w:t>
      </w:r>
      <w:r w:rsidRPr="00310618">
        <w:tab/>
        <w:t>Europaparlamentet upprepar att bidrag från EGF inte får ersätta åtgärder som enligt nationell rätt eller kollektivavtal åligger offentliga myndigheter eller företagen. Parlamentet påminner om att EGF är en begränsad, riktad och kompletterande mekanism.</w:t>
      </w:r>
    </w:p>
    <w:p w14:paraId="34D0ABA4" w14:textId="77777777" w:rsidR="000B6FD7" w:rsidRPr="00310618" w:rsidRDefault="000B6FD7" w:rsidP="000B6FD7">
      <w:pPr>
        <w:pStyle w:val="NormalHanging12a"/>
      </w:pPr>
      <w:r w:rsidRPr="00310618">
        <w:t>15.</w:t>
      </w:r>
      <w:r w:rsidRPr="00310618">
        <w:tab/>
        <w:t>Europaparlamentet godkänner det bifogade beslutet.</w:t>
      </w:r>
    </w:p>
    <w:p w14:paraId="44557258" w14:textId="77777777" w:rsidR="000B6FD7" w:rsidRPr="00310618" w:rsidRDefault="000B6FD7" w:rsidP="000B6FD7">
      <w:pPr>
        <w:pStyle w:val="NormalHanging12a"/>
        <w:keepNext/>
        <w:keepLines/>
        <w:widowControl/>
      </w:pPr>
      <w:r w:rsidRPr="00310618">
        <w:t>16.</w:t>
      </w:r>
      <w:r w:rsidRPr="00310618">
        <w:tab/>
        <w:t xml:space="preserve">Europaparlamentet uppdrar åt talmannen att tillsammans med rådets ordförande underteckna beslutet och se till att det offentliggörs i </w:t>
      </w:r>
      <w:r w:rsidRPr="00310618">
        <w:rPr>
          <w:i/>
          <w:iCs/>
        </w:rPr>
        <w:t>Europeiska unionens officiella tidning</w:t>
      </w:r>
      <w:r w:rsidRPr="00310618">
        <w:t>.</w:t>
      </w:r>
    </w:p>
    <w:p w14:paraId="46008B21" w14:textId="2B80F089" w:rsidR="000B6FD7" w:rsidRPr="00310618" w:rsidRDefault="000B6FD7" w:rsidP="00162190">
      <w:pPr>
        <w:pStyle w:val="NormalHanging12a"/>
        <w:keepNext/>
        <w:keepLines/>
        <w:widowControl/>
      </w:pPr>
      <w:r w:rsidRPr="00310618">
        <w:t>17.</w:t>
      </w:r>
      <w:r w:rsidRPr="00310618">
        <w:tab/>
        <w:t>Europaparlamentet uppdrar åt talmannen att översända denna resolution med bilaga till rådet och kommissionen.</w:t>
      </w:r>
    </w:p>
    <w:p w14:paraId="1DE63AA5" w14:textId="77777777" w:rsidR="000B6FD7" w:rsidRPr="00310618" w:rsidRDefault="000B6FD7" w:rsidP="000B6FD7">
      <w:pPr>
        <w:rPr>
          <w:noProof/>
        </w:rPr>
      </w:pPr>
    </w:p>
    <w:p w14:paraId="246494A0" w14:textId="77777777" w:rsidR="000B6FD7" w:rsidRPr="00310618" w:rsidRDefault="000B6FD7" w:rsidP="000B6FD7">
      <w:pPr>
        <w:pStyle w:val="PageHeading"/>
        <w:rPr>
          <w:noProof/>
        </w:rPr>
        <w:sectPr w:rsidR="000B6FD7" w:rsidRPr="00310618" w:rsidSect="00704D13">
          <w:headerReference w:type="even" r:id="rId9"/>
          <w:footerReference w:type="even" r:id="rId10"/>
          <w:footerReference w:type="first" r:id="rId11"/>
          <w:footnotePr>
            <w:numRestart w:val="eachSect"/>
          </w:footnotePr>
          <w:endnotePr>
            <w:numFmt w:val="decimal"/>
          </w:endnotePr>
          <w:pgSz w:w="11906" w:h="16838" w:code="9"/>
          <w:pgMar w:top="851" w:right="1418" w:bottom="1418" w:left="1418" w:header="1134" w:footer="567" w:gutter="0"/>
          <w:cols w:space="720"/>
          <w:noEndnote/>
          <w:docGrid w:linePitch="326"/>
        </w:sectPr>
      </w:pPr>
    </w:p>
    <w:p w14:paraId="2DE3F920" w14:textId="77777777" w:rsidR="008F76E9" w:rsidRPr="008F76E9" w:rsidRDefault="000B6FD7" w:rsidP="000B6FD7">
      <w:pPr>
        <w:pStyle w:val="PageHeading"/>
        <w:rPr>
          <w:rFonts w:ascii="Times New Roman" w:hAnsi="Times New Roman" w:cs="Times New Roman"/>
        </w:rPr>
      </w:pPr>
      <w:bookmarkStart w:id="7" w:name="_Toc221116748"/>
      <w:bookmarkStart w:id="8" w:name="_Toc224724139"/>
      <w:bookmarkStart w:id="9" w:name="_Toc224813833"/>
      <w:r w:rsidRPr="008F76E9">
        <w:rPr>
          <w:rFonts w:ascii="Times New Roman" w:hAnsi="Times New Roman" w:cs="Times New Roman"/>
        </w:rPr>
        <w:lastRenderedPageBreak/>
        <w:t>BILAGA</w:t>
      </w:r>
    </w:p>
    <w:p w14:paraId="41A678F2" w14:textId="2D157630" w:rsidR="000B6FD7" w:rsidRPr="008F76E9" w:rsidRDefault="000B6FD7" w:rsidP="000B6FD7">
      <w:pPr>
        <w:pStyle w:val="PageHeading"/>
        <w:rPr>
          <w:rFonts w:ascii="Times New Roman" w:hAnsi="Times New Roman" w:cs="Times New Roman"/>
        </w:rPr>
      </w:pPr>
      <w:bookmarkStart w:id="10" w:name="_Hlk219192825"/>
      <w:r w:rsidRPr="008F76E9">
        <w:rPr>
          <w:rFonts w:ascii="Times New Roman" w:hAnsi="Times New Roman" w:cs="Times New Roman"/>
        </w:rPr>
        <w:t>EUROPAPARLAMENTETS OCH RÅDETS BESLUT</w:t>
      </w:r>
      <w:bookmarkEnd w:id="7"/>
      <w:bookmarkEnd w:id="8"/>
      <w:bookmarkEnd w:id="9"/>
    </w:p>
    <w:p w14:paraId="2A7AA5F2" w14:textId="77777777" w:rsidR="000B6FD7" w:rsidRDefault="000B6FD7" w:rsidP="000B6FD7">
      <w:pPr>
        <w:pStyle w:val="Titreobjet"/>
      </w:pPr>
      <w:r w:rsidRPr="00310618">
        <w:t>om utnyttjande av Europeiska fonden för justering för globaliseringseffekter för uppsagda arbetstagare efter en ansökan från Belgien – EGF/2025/007 BE/</w:t>
      </w:r>
      <w:proofErr w:type="spellStart"/>
      <w:r w:rsidRPr="00310618">
        <w:t>Casa</w:t>
      </w:r>
      <w:proofErr w:type="spellEnd"/>
    </w:p>
    <w:p w14:paraId="4AAAD7D5" w14:textId="08D1C17F" w:rsidR="008F76E9" w:rsidRPr="008F76E9" w:rsidRDefault="008F76E9" w:rsidP="008F76E9">
      <w:pPr>
        <w:widowControl/>
        <w:jc w:val="both"/>
        <w:rPr>
          <w:rFonts w:eastAsia="Calibri"/>
          <w:i/>
          <w:szCs w:val="24"/>
          <w:lang w:eastAsia="en-US"/>
        </w:rPr>
      </w:pPr>
      <w:r w:rsidRPr="008F76E9">
        <w:rPr>
          <w:rFonts w:eastAsia="Calibri"/>
          <w:i/>
          <w:szCs w:val="24"/>
          <w:lang w:eastAsia="en-US"/>
        </w:rPr>
        <w:t>(Texten till denna bilaga återges inte här eftersom den motsvaras av den slutliga rättsakten, beslut</w:t>
      </w:r>
      <w:r>
        <w:rPr>
          <w:rFonts w:eastAsia="Calibri"/>
          <w:i/>
          <w:szCs w:val="24"/>
          <w:lang w:eastAsia="en-US"/>
        </w:rPr>
        <w:t xml:space="preserve"> </w:t>
      </w:r>
      <w:r w:rsidRPr="008F76E9">
        <w:rPr>
          <w:rFonts w:eastAsia="Calibri"/>
          <w:i/>
          <w:szCs w:val="24"/>
          <w:lang w:eastAsia="en-US"/>
        </w:rPr>
        <w:t xml:space="preserve">(EU) </w:t>
      </w:r>
      <w:r>
        <w:rPr>
          <w:rFonts w:eastAsia="Calibri"/>
          <w:i/>
          <w:szCs w:val="24"/>
          <w:lang w:eastAsia="en-US"/>
        </w:rPr>
        <w:t>2026</w:t>
      </w:r>
      <w:r w:rsidRPr="008F76E9">
        <w:rPr>
          <w:rFonts w:eastAsia="Calibri"/>
          <w:i/>
          <w:szCs w:val="24"/>
          <w:lang w:eastAsia="en-US"/>
        </w:rPr>
        <w:t>/</w:t>
      </w:r>
      <w:r>
        <w:rPr>
          <w:rFonts w:eastAsia="Calibri"/>
          <w:i/>
          <w:szCs w:val="24"/>
          <w:lang w:eastAsia="en-US"/>
        </w:rPr>
        <w:t>851</w:t>
      </w:r>
      <w:r w:rsidRPr="008F76E9">
        <w:rPr>
          <w:rFonts w:eastAsia="Calibri"/>
          <w:i/>
          <w:szCs w:val="24"/>
          <w:lang w:eastAsia="en-US"/>
        </w:rPr>
        <w:t>.)</w:t>
      </w:r>
    </w:p>
    <w:p w14:paraId="55C03B2C" w14:textId="77777777" w:rsidR="008F76E9" w:rsidRPr="008F76E9" w:rsidRDefault="008F76E9" w:rsidP="008F76E9">
      <w:pPr>
        <w:rPr>
          <w:lang w:eastAsia="en-US"/>
        </w:rPr>
      </w:pPr>
    </w:p>
    <w:bookmarkEnd w:id="10"/>
    <w:sectPr w:rsidR="008F76E9" w:rsidRPr="008F76E9" w:rsidSect="00704D13">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00282" w14:textId="77777777" w:rsidR="007D2D69" w:rsidRPr="00704D13" w:rsidRDefault="007D2D69">
      <w:r w:rsidRPr="00704D13">
        <w:separator/>
      </w:r>
    </w:p>
  </w:endnote>
  <w:endnote w:type="continuationSeparator" w:id="0">
    <w:p w14:paraId="1FC3C68F" w14:textId="77777777" w:rsidR="007D2D69" w:rsidRPr="00704D13" w:rsidRDefault="007D2D69">
      <w:r w:rsidRPr="00704D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F3C2" w14:textId="77777777" w:rsidR="000B6FD7" w:rsidRPr="00704D13" w:rsidRDefault="000B6FD7" w:rsidP="001D27D0">
    <w:pPr>
      <w:pStyle w:val="EPFooter"/>
    </w:pPr>
    <w:r w:rsidRPr="00704D13">
      <w:t>PE</w:t>
    </w:r>
    <w:r w:rsidRPr="00704D13">
      <w:rPr>
        <w:rStyle w:val="HideTWBExt"/>
      </w:rPr>
      <w:t>&lt;NoPE&gt;</w:t>
    </w:r>
    <w:r w:rsidRPr="00704D13">
      <w:t>784.477</w:t>
    </w:r>
    <w:r w:rsidRPr="00704D13">
      <w:rPr>
        <w:rStyle w:val="HideTWBExt"/>
      </w:rPr>
      <w:t>&lt;/NoPE&gt;&lt;Version&gt;</w:t>
    </w:r>
    <w:r w:rsidRPr="00704D13">
      <w:t>v02-00</w:t>
    </w:r>
    <w:r w:rsidRPr="00704D13">
      <w:rPr>
        <w:rStyle w:val="HideTWBExt"/>
      </w:rPr>
      <w:t>&lt;/Version&gt;</w:t>
    </w:r>
    <w:r w:rsidRPr="00704D13">
      <w:tab/>
    </w:r>
    <w:r w:rsidRPr="00704D13">
      <w:fldChar w:fldCharType="begin"/>
    </w:r>
    <w:r w:rsidRPr="00704D13">
      <w:instrText xml:space="preserve"> PAGE  \* MERGEFORMAT </w:instrText>
    </w:r>
    <w:r w:rsidRPr="00704D13">
      <w:fldChar w:fldCharType="separate"/>
    </w:r>
    <w:r w:rsidRPr="00704D13">
      <w:rPr>
        <w:noProof/>
      </w:rPr>
      <w:t>14</w:t>
    </w:r>
    <w:r w:rsidRPr="00704D13">
      <w:fldChar w:fldCharType="end"/>
    </w:r>
    <w:r w:rsidRPr="00704D13">
      <w:t>/</w:t>
    </w:r>
    <w:fldSimple w:instr=" NUMPAGES  \* MERGEFORMAT ">
      <w:r w:rsidRPr="00704D13">
        <w:rPr>
          <w:noProof/>
        </w:rPr>
        <w:t>14</w:t>
      </w:r>
    </w:fldSimple>
    <w:r w:rsidRPr="00704D13">
      <w:tab/>
    </w:r>
    <w:r w:rsidRPr="00704D13">
      <w:rPr>
        <w:rStyle w:val="HideTWBExt"/>
      </w:rPr>
      <w:t>&lt;PathFdR&gt;</w:t>
    </w:r>
    <w:r w:rsidRPr="00704D13">
      <w:t>RR\1339712SV.docx</w:t>
    </w:r>
    <w:r w:rsidRPr="00704D13">
      <w:rPr>
        <w:rStyle w:val="HideTWBExt"/>
      </w:rPr>
      <w:t>&lt;/PathFdR&gt;</w:t>
    </w:r>
  </w:p>
  <w:p w14:paraId="79EE199D" w14:textId="77777777" w:rsidR="000B6FD7" w:rsidRPr="00704D13" w:rsidRDefault="000B6FD7" w:rsidP="001D27D0">
    <w:pPr>
      <w:pStyle w:val="EPFooter2"/>
    </w:pPr>
    <w:r w:rsidRPr="00704D13">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C5E3A" w14:textId="77777777" w:rsidR="000B6FD7" w:rsidRPr="00704D13" w:rsidRDefault="000B6FD7" w:rsidP="001D27D0">
    <w:pPr>
      <w:pStyle w:val="EPFooter"/>
    </w:pPr>
    <w:r w:rsidRPr="00704D13">
      <w:rPr>
        <w:rStyle w:val="HideTWBExt"/>
      </w:rPr>
      <w:t>&lt;PathFdR&gt;</w:t>
    </w:r>
    <w:r w:rsidRPr="00704D13">
      <w:t>RR\1339712SV.docx</w:t>
    </w:r>
    <w:r w:rsidRPr="00704D13">
      <w:rPr>
        <w:rStyle w:val="HideTWBExt"/>
      </w:rPr>
      <w:t>&lt;/PathFdR&gt;</w:t>
    </w:r>
    <w:r w:rsidRPr="00704D13">
      <w:tab/>
    </w:r>
    <w:r w:rsidRPr="00704D13">
      <w:tab/>
      <w:t>PE</w:t>
    </w:r>
    <w:r w:rsidRPr="00704D13">
      <w:rPr>
        <w:rStyle w:val="HideTWBExt"/>
      </w:rPr>
      <w:t>&lt;NoPE&gt;</w:t>
    </w:r>
    <w:r w:rsidRPr="00704D13">
      <w:t>784.477</w:t>
    </w:r>
    <w:r w:rsidRPr="00704D13">
      <w:rPr>
        <w:rStyle w:val="HideTWBExt"/>
      </w:rPr>
      <w:t>&lt;/NoPE&gt;&lt;Version&gt;</w:t>
    </w:r>
    <w:r w:rsidRPr="00704D13">
      <w:t>v02-00</w:t>
    </w:r>
    <w:r w:rsidRPr="00704D13">
      <w:rPr>
        <w:rStyle w:val="HideTWBExt"/>
      </w:rPr>
      <w:t>&lt;/Version&gt;</w:t>
    </w:r>
  </w:p>
  <w:p w14:paraId="18378E25" w14:textId="77777777" w:rsidR="000B6FD7" w:rsidRPr="00704D13" w:rsidRDefault="000B6FD7" w:rsidP="001D27D0">
    <w:pPr>
      <w:pStyle w:val="EPFooter2"/>
    </w:pPr>
    <w:r w:rsidRPr="00704D13">
      <w:t>SV</w:t>
    </w:r>
    <w:r w:rsidRPr="00704D13">
      <w:tab/>
    </w:r>
    <w:r w:rsidRPr="00704D13">
      <w:rPr>
        <w:b w:val="0"/>
        <w:i/>
        <w:color w:val="C0C0C0"/>
        <w:sz w:val="22"/>
      </w:rPr>
      <w:t>Förenade i mångfalden</w:t>
    </w:r>
    <w:r w:rsidRPr="00704D13">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8AA8" w14:textId="77777777" w:rsidR="00064002" w:rsidRPr="00704D1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F770" w14:textId="77777777" w:rsidR="00064002" w:rsidRPr="00704D1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DAA06" w14:textId="77777777" w:rsidR="00064002" w:rsidRPr="00704D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0CB4F" w14:textId="77777777" w:rsidR="007D2D69" w:rsidRPr="00704D13" w:rsidRDefault="007D2D69">
      <w:r w:rsidRPr="00704D13">
        <w:separator/>
      </w:r>
    </w:p>
  </w:footnote>
  <w:footnote w:type="continuationSeparator" w:id="0">
    <w:p w14:paraId="12C45B9A" w14:textId="77777777" w:rsidR="007D2D69" w:rsidRPr="00704D13" w:rsidRDefault="007D2D69">
      <w:r w:rsidRPr="00704D13">
        <w:continuationSeparator/>
      </w:r>
    </w:p>
  </w:footnote>
  <w:footnote w:id="1">
    <w:p w14:paraId="0B672F0C" w14:textId="468927BC" w:rsidR="000B6FD7" w:rsidRPr="00310618" w:rsidRDefault="000B6FD7" w:rsidP="00704D13">
      <w:pPr>
        <w:pStyle w:val="FootnoteText"/>
        <w:ind w:left="567" w:hanging="567"/>
        <w:rPr>
          <w:sz w:val="24"/>
          <w:lang w:val="fi-FI"/>
        </w:rPr>
      </w:pPr>
      <w:r w:rsidRPr="00310618">
        <w:rPr>
          <w:rStyle w:val="FootnoteReference"/>
          <w:sz w:val="24"/>
          <w:lang w:val="sv-SE"/>
        </w:rPr>
        <w:footnoteRef/>
      </w:r>
      <w:r w:rsidR="00704D13" w:rsidRPr="00310618">
        <w:rPr>
          <w:sz w:val="24"/>
          <w:lang w:val="fi-FI"/>
        </w:rPr>
        <w:t xml:space="preserve"> </w:t>
      </w:r>
      <w:r w:rsidR="00704D13" w:rsidRPr="00310618">
        <w:rPr>
          <w:sz w:val="24"/>
          <w:lang w:val="fi-FI"/>
        </w:rPr>
        <w:tab/>
      </w:r>
      <w:r w:rsidRPr="00310618">
        <w:rPr>
          <w:sz w:val="24"/>
          <w:lang w:val="fi-FI"/>
        </w:rPr>
        <w:t xml:space="preserve">EUT L 153, 3.5.2021, s. 48, ELI: </w:t>
      </w:r>
      <w:hyperlink r:id="rId1" w:history="1">
        <w:r w:rsidRPr="00310618">
          <w:rPr>
            <w:rStyle w:val="Hyperlink"/>
            <w:sz w:val="24"/>
            <w:lang w:val="fi-FI"/>
          </w:rPr>
          <w:t>http://data.europa.eu/eli/reg/2021/691/oj</w:t>
        </w:r>
      </w:hyperlink>
      <w:r w:rsidRPr="00310618">
        <w:rPr>
          <w:sz w:val="24"/>
          <w:lang w:val="fi-FI"/>
        </w:rPr>
        <w:t>.</w:t>
      </w:r>
    </w:p>
  </w:footnote>
  <w:footnote w:id="2">
    <w:p w14:paraId="1084A7AB" w14:textId="4A8BF214" w:rsidR="000B6FD7" w:rsidRPr="00310618" w:rsidRDefault="000B6FD7" w:rsidP="00704D13">
      <w:pPr>
        <w:pStyle w:val="FootnoteText"/>
        <w:ind w:left="567" w:hanging="567"/>
        <w:rPr>
          <w:sz w:val="24"/>
          <w:lang w:val="fi-FI"/>
        </w:rPr>
      </w:pPr>
      <w:r w:rsidRPr="00310618">
        <w:rPr>
          <w:rStyle w:val="FootnoteReference"/>
          <w:sz w:val="24"/>
          <w:lang w:val="sv-SE"/>
        </w:rPr>
        <w:footnoteRef/>
      </w:r>
      <w:r w:rsidR="00704D13" w:rsidRPr="00310618">
        <w:rPr>
          <w:sz w:val="24"/>
          <w:lang w:val="fi-FI"/>
        </w:rPr>
        <w:t xml:space="preserve"> </w:t>
      </w:r>
      <w:r w:rsidR="00704D13" w:rsidRPr="00310618">
        <w:rPr>
          <w:sz w:val="24"/>
          <w:lang w:val="fi-FI"/>
        </w:rPr>
        <w:tab/>
      </w:r>
      <w:r w:rsidRPr="00310618">
        <w:rPr>
          <w:sz w:val="24"/>
          <w:lang w:val="fi-FI"/>
        </w:rPr>
        <w:t xml:space="preserve">EUT L 433 I, 22.12.2020, s. 11, ELI: </w:t>
      </w:r>
      <w:hyperlink r:id="rId2" w:history="1">
        <w:r w:rsidRPr="00310618">
          <w:rPr>
            <w:rStyle w:val="Hyperlink"/>
            <w:sz w:val="24"/>
            <w:lang w:val="fi-FI"/>
          </w:rPr>
          <w:t>http://data.europa.eu/eli/reg/2020/2093/oj</w:t>
        </w:r>
      </w:hyperlink>
      <w:r w:rsidRPr="00310618">
        <w:rPr>
          <w:sz w:val="24"/>
          <w:lang w:val="fi-FI"/>
        </w:rPr>
        <w:t>.</w:t>
      </w:r>
    </w:p>
  </w:footnote>
  <w:footnote w:id="3">
    <w:p w14:paraId="4C210976" w14:textId="71F8D5B0" w:rsidR="000B6FD7" w:rsidRPr="00310618" w:rsidRDefault="000B6FD7" w:rsidP="00704D13">
      <w:pPr>
        <w:pStyle w:val="FootnoteText"/>
        <w:ind w:left="567" w:hanging="567"/>
        <w:rPr>
          <w:sz w:val="24"/>
          <w:lang w:val="sv-SE"/>
        </w:rPr>
      </w:pPr>
      <w:r w:rsidRPr="00310618">
        <w:rPr>
          <w:rStyle w:val="FootnoteReference"/>
          <w:sz w:val="24"/>
          <w:lang w:val="sv-SE"/>
        </w:rPr>
        <w:footnoteRef/>
      </w:r>
      <w:r w:rsidR="00704D13" w:rsidRPr="00310618">
        <w:rPr>
          <w:sz w:val="24"/>
          <w:shd w:val="clear" w:color="auto" w:fill="FFFFFF"/>
          <w:lang w:val="sv-SE"/>
        </w:rPr>
        <w:t xml:space="preserve"> </w:t>
      </w:r>
      <w:r w:rsidR="00704D13" w:rsidRPr="00310618">
        <w:rPr>
          <w:sz w:val="24"/>
          <w:shd w:val="clear" w:color="auto" w:fill="FFFFFF"/>
          <w:lang w:val="sv-SE"/>
        </w:rPr>
        <w:tab/>
      </w:r>
      <w:r w:rsidRPr="00310618">
        <w:rPr>
          <w:sz w:val="24"/>
          <w:shd w:val="clear" w:color="auto" w:fill="FFFFFF"/>
          <w:lang w:val="sv-SE"/>
        </w:rPr>
        <w:t>Rådets förordning (EU, Euratom) 2024/765 av den 29 februari 2024 om ändring av förordning (EU, Euratom) 2020/2093 om den fleråriga budgetramen 2021–2027 (EUT L</w:t>
      </w:r>
      <w:r w:rsidR="008F76E9">
        <w:rPr>
          <w:sz w:val="24"/>
          <w:shd w:val="clear" w:color="auto" w:fill="FFFFFF"/>
          <w:lang w:val="sv-SE"/>
        </w:rPr>
        <w:t>,</w:t>
      </w:r>
      <w:r w:rsidRPr="00310618">
        <w:rPr>
          <w:sz w:val="24"/>
          <w:shd w:val="clear" w:color="auto" w:fill="FFFFFF"/>
          <w:lang w:val="sv-SE"/>
        </w:rPr>
        <w:t> 2024/765, 29.2.2024, ELI:</w:t>
      </w:r>
      <w:r w:rsidRPr="00310618">
        <w:rPr>
          <w:color w:val="333333"/>
          <w:sz w:val="24"/>
          <w:shd w:val="clear" w:color="auto" w:fill="FFFFFF"/>
          <w:lang w:val="sv-SE"/>
        </w:rPr>
        <w:t xml:space="preserve"> </w:t>
      </w:r>
      <w:hyperlink r:id="rId3" w:history="1">
        <w:r w:rsidRPr="00310618">
          <w:rPr>
            <w:rStyle w:val="Hyperlink"/>
            <w:sz w:val="24"/>
            <w:shd w:val="clear" w:color="auto" w:fill="FFFFFF"/>
            <w:lang w:val="sv-SE"/>
          </w:rPr>
          <w:t>http://data.europa.eu/eli/reg/2024/765/oj</w:t>
        </w:r>
      </w:hyperlink>
      <w:r w:rsidRPr="00310618">
        <w:rPr>
          <w:i/>
          <w:color w:val="333333"/>
          <w:sz w:val="24"/>
          <w:shd w:val="clear" w:color="auto" w:fill="FFFFFF"/>
          <w:lang w:val="sv-SE"/>
        </w:rPr>
        <w:t>).</w:t>
      </w:r>
    </w:p>
  </w:footnote>
  <w:footnote w:id="4">
    <w:p w14:paraId="2A74D281" w14:textId="07CD5561" w:rsidR="000B6FD7" w:rsidRPr="00310618" w:rsidRDefault="000B6FD7" w:rsidP="00704D13">
      <w:pPr>
        <w:pStyle w:val="FootnoteText"/>
        <w:ind w:left="567" w:hanging="567"/>
        <w:rPr>
          <w:sz w:val="24"/>
          <w:lang w:val="fi-FI"/>
        </w:rPr>
      </w:pPr>
      <w:r w:rsidRPr="00310618">
        <w:rPr>
          <w:rStyle w:val="FootnoteReference"/>
          <w:sz w:val="24"/>
          <w:lang w:val="sv-SE"/>
        </w:rPr>
        <w:footnoteRef/>
      </w:r>
      <w:r w:rsidR="00704D13" w:rsidRPr="00310618">
        <w:rPr>
          <w:sz w:val="24"/>
          <w:lang w:val="fi-FI"/>
        </w:rPr>
        <w:t xml:space="preserve"> </w:t>
      </w:r>
      <w:r w:rsidR="00704D13" w:rsidRPr="00310618">
        <w:rPr>
          <w:sz w:val="24"/>
          <w:lang w:val="fi-FI"/>
        </w:rPr>
        <w:tab/>
      </w:r>
      <w:r w:rsidRPr="00310618">
        <w:rPr>
          <w:sz w:val="24"/>
          <w:lang w:val="fi-FI"/>
        </w:rPr>
        <w:t xml:space="preserve">EUT L 433 I, 22.12.2020, s. 28, ELI: </w:t>
      </w:r>
      <w:hyperlink r:id="rId4" w:history="1">
        <w:r w:rsidRPr="00310618">
          <w:rPr>
            <w:rStyle w:val="Hyperlink"/>
            <w:sz w:val="24"/>
            <w:lang w:val="fi-FI"/>
          </w:rPr>
          <w:t>http://data.europa.eu/eli/agree_interinstit/2020/1222/oj</w:t>
        </w:r>
      </w:hyperlink>
      <w:r w:rsidRPr="00310618">
        <w:rPr>
          <w:sz w:val="24"/>
          <w:lang w:val="fi-FI"/>
        </w:rPr>
        <w:t>.</w:t>
      </w:r>
    </w:p>
  </w:footnote>
  <w:footnote w:id="5">
    <w:p w14:paraId="5EBC6226" w14:textId="240FEE95" w:rsidR="000B6FD7" w:rsidRPr="00310618" w:rsidRDefault="000B6FD7" w:rsidP="00704D13">
      <w:pPr>
        <w:pStyle w:val="FootnoteText"/>
        <w:ind w:left="567" w:hanging="567"/>
        <w:rPr>
          <w:sz w:val="24"/>
          <w:lang w:val="sv-SE"/>
        </w:rPr>
      </w:pPr>
      <w:r w:rsidRPr="00310618">
        <w:rPr>
          <w:rStyle w:val="FootnoteReference"/>
          <w:sz w:val="24"/>
          <w:lang w:val="sv-SE"/>
        </w:rPr>
        <w:footnoteRef/>
      </w:r>
      <w:r w:rsidR="00704D13" w:rsidRPr="00310618">
        <w:rPr>
          <w:sz w:val="24"/>
          <w:lang w:val="sv-SE"/>
        </w:rPr>
        <w:t xml:space="preserve"> </w:t>
      </w:r>
      <w:r w:rsidR="00704D13" w:rsidRPr="00310618">
        <w:rPr>
          <w:sz w:val="24"/>
          <w:lang w:val="sv-SE"/>
        </w:rPr>
        <w:tab/>
      </w:r>
      <w:r w:rsidRPr="00310618">
        <w:rPr>
          <w:sz w:val="24"/>
          <w:lang w:val="sv-SE"/>
        </w:rPr>
        <w:t>I den mening som avses i artikel 3 i EGF-förordningen.</w:t>
      </w:r>
    </w:p>
  </w:footnote>
  <w:footnote w:id="6">
    <w:p w14:paraId="7C0E29FC" w14:textId="52724EB3" w:rsidR="000B6FD7" w:rsidRPr="00310618" w:rsidRDefault="000B6FD7" w:rsidP="00704D13">
      <w:pPr>
        <w:pStyle w:val="FootnoteText"/>
        <w:ind w:left="567" w:hanging="567"/>
        <w:rPr>
          <w:sz w:val="24"/>
          <w:lang w:val="sv-SE"/>
        </w:rPr>
      </w:pPr>
      <w:r w:rsidRPr="00310618">
        <w:rPr>
          <w:rStyle w:val="FootnoteReference"/>
          <w:sz w:val="24"/>
          <w:lang w:val="sv-SE"/>
        </w:rPr>
        <w:footnoteRef/>
      </w:r>
      <w:r w:rsidR="00704D13" w:rsidRPr="00310618">
        <w:rPr>
          <w:sz w:val="24"/>
          <w:lang w:val="sv-SE"/>
        </w:rPr>
        <w:t xml:space="preserve"> </w:t>
      </w:r>
      <w:r w:rsidR="00704D13" w:rsidRPr="00310618">
        <w:rPr>
          <w:sz w:val="24"/>
          <w:lang w:val="sv-SE"/>
        </w:rPr>
        <w:tab/>
      </w:r>
      <w:r w:rsidRPr="00310618">
        <w:rPr>
          <w:sz w:val="24"/>
          <w:lang w:val="sv-SE"/>
        </w:rPr>
        <w:t>Artikel 8 i förordningen om den fleråriga budgetramen.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CFCF7" w14:textId="77777777" w:rsidR="000B6FD7" w:rsidRPr="00704D13" w:rsidRDefault="000B6FD7">
    <w:pPr>
      <w:pStyle w:val="Header"/>
    </w:pPr>
  </w:p>
  <w:p w14:paraId="06614815" w14:textId="77777777" w:rsidR="000B6FD7" w:rsidRPr="00704D13" w:rsidRDefault="000B6FD7"/>
  <w:p w14:paraId="5D16F185" w14:textId="77777777" w:rsidR="000B6FD7" w:rsidRPr="00704D13" w:rsidRDefault="000B6F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413D" w14:textId="77777777" w:rsidR="00064002" w:rsidRPr="00704D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0DA26" w14:textId="77777777" w:rsidR="00064002" w:rsidRPr="00704D13"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1D28E" w14:textId="77777777" w:rsidR="00064002" w:rsidRPr="00704D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0619050">
    <w:abstractNumId w:val="9"/>
  </w:num>
  <w:num w:numId="2" w16cid:durableId="1132795374">
    <w:abstractNumId w:val="9"/>
  </w:num>
  <w:num w:numId="3" w16cid:durableId="1541430435">
    <w:abstractNumId w:val="7"/>
  </w:num>
  <w:num w:numId="4" w16cid:durableId="1273168195">
    <w:abstractNumId w:val="7"/>
  </w:num>
  <w:num w:numId="5" w16cid:durableId="1451901797">
    <w:abstractNumId w:val="6"/>
  </w:num>
  <w:num w:numId="6" w16cid:durableId="507448768">
    <w:abstractNumId w:val="6"/>
  </w:num>
  <w:num w:numId="7" w16cid:durableId="1941523732">
    <w:abstractNumId w:val="5"/>
  </w:num>
  <w:num w:numId="8" w16cid:durableId="1592084026">
    <w:abstractNumId w:val="5"/>
  </w:num>
  <w:num w:numId="9" w16cid:durableId="1706365640">
    <w:abstractNumId w:val="4"/>
  </w:num>
  <w:num w:numId="10" w16cid:durableId="1432042669">
    <w:abstractNumId w:val="4"/>
  </w:num>
  <w:num w:numId="11" w16cid:durableId="394933267">
    <w:abstractNumId w:val="8"/>
  </w:num>
  <w:num w:numId="12" w16cid:durableId="111439484">
    <w:abstractNumId w:val="8"/>
  </w:num>
  <w:num w:numId="13" w16cid:durableId="1124233187">
    <w:abstractNumId w:val="3"/>
  </w:num>
  <w:num w:numId="14" w16cid:durableId="268054485">
    <w:abstractNumId w:val="3"/>
  </w:num>
  <w:num w:numId="15" w16cid:durableId="1230189119">
    <w:abstractNumId w:val="2"/>
  </w:num>
  <w:num w:numId="16" w16cid:durableId="40178038">
    <w:abstractNumId w:val="2"/>
  </w:num>
  <w:num w:numId="17" w16cid:durableId="1836071218">
    <w:abstractNumId w:val="1"/>
  </w:num>
  <w:num w:numId="18" w16cid:durableId="119954737">
    <w:abstractNumId w:val="1"/>
  </w:num>
  <w:num w:numId="19" w16cid:durableId="1125853564">
    <w:abstractNumId w:val="0"/>
  </w:num>
  <w:num w:numId="20" w16cid:durableId="1939674073">
    <w:abstractNumId w:val="0"/>
  </w:num>
  <w:num w:numId="21" w16cid:durableId="1492334094">
    <w:abstractNumId w:val="9"/>
  </w:num>
  <w:num w:numId="22" w16cid:durableId="2023968733">
    <w:abstractNumId w:val="7"/>
  </w:num>
  <w:num w:numId="23" w16cid:durableId="866724109">
    <w:abstractNumId w:val="6"/>
  </w:num>
  <w:num w:numId="24" w16cid:durableId="896159527">
    <w:abstractNumId w:val="5"/>
  </w:num>
  <w:num w:numId="25" w16cid:durableId="1121147370">
    <w:abstractNumId w:val="4"/>
  </w:num>
  <w:num w:numId="26" w16cid:durableId="1400176940">
    <w:abstractNumId w:val="8"/>
  </w:num>
  <w:num w:numId="27" w16cid:durableId="1016734854">
    <w:abstractNumId w:val="3"/>
  </w:num>
  <w:num w:numId="28" w16cid:durableId="1453523413">
    <w:abstractNumId w:val="2"/>
  </w:num>
  <w:num w:numId="29" w16cid:durableId="1910994823">
    <w:abstractNumId w:val="1"/>
  </w:num>
  <w:num w:numId="30" w16cid:durableId="1808428831">
    <w:abstractNumId w:val="0"/>
  </w:num>
  <w:num w:numId="31" w16cid:durableId="803809977">
    <w:abstractNumId w:val="9"/>
  </w:num>
  <w:num w:numId="32" w16cid:durableId="1498880717">
    <w:abstractNumId w:val="7"/>
  </w:num>
  <w:num w:numId="33" w16cid:durableId="1681078274">
    <w:abstractNumId w:val="6"/>
  </w:num>
  <w:num w:numId="34" w16cid:durableId="377441047">
    <w:abstractNumId w:val="5"/>
  </w:num>
  <w:num w:numId="35" w16cid:durableId="755593538">
    <w:abstractNumId w:val="4"/>
  </w:num>
  <w:num w:numId="36" w16cid:durableId="1852135753">
    <w:abstractNumId w:val="8"/>
  </w:num>
  <w:num w:numId="37" w16cid:durableId="274093282">
    <w:abstractNumId w:val="3"/>
  </w:num>
  <w:num w:numId="38" w16cid:durableId="15039698">
    <w:abstractNumId w:val="2"/>
  </w:num>
  <w:num w:numId="39" w16cid:durableId="1847552644">
    <w:abstractNumId w:val="1"/>
  </w:num>
  <w:num w:numId="40" w16cid:durableId="2133664401">
    <w:abstractNumId w:val="0"/>
  </w:num>
  <w:num w:numId="41" w16cid:durableId="1853910494">
    <w:abstractNumId w:val="10"/>
  </w:num>
  <w:num w:numId="42" w16cid:durableId="1048341779">
    <w:abstractNumId w:val="10"/>
  </w:num>
  <w:num w:numId="43" w16cid:durableId="288052534">
    <w:abstractNumId w:val="10"/>
  </w:num>
  <w:num w:numId="44" w16cid:durableId="3316906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SV"/>
    <w:docVar w:name="dvnumam" w:val="0"/>
    <w:docVar w:name="dvpe" w:val="784.477"/>
    <w:docVar w:name="dvrapporteur" w:val="Föredragande: "/>
    <w:docVar w:name="dvtitre" w:val="Europaparlamentets resolution av den xx xx 2026 om förslaget till Europaparlamentets och rådets beslut om utnyttjande av Europeiska fonden för justering för globaliseringseffekter för uppsagda arbetstagare efter en ansökan från Belgien – EGF/2025/007 BE/Casa(COM(2026)0003 – C10-0025/2026 – 2026/0038(BUD))"/>
  </w:docVars>
  <w:rsids>
    <w:rsidRoot w:val="007D2D69"/>
    <w:rsid w:val="00002272"/>
    <w:rsid w:val="00064002"/>
    <w:rsid w:val="000677B9"/>
    <w:rsid w:val="000831BA"/>
    <w:rsid w:val="000A42CC"/>
    <w:rsid w:val="000B6FD7"/>
    <w:rsid w:val="000E7DD9"/>
    <w:rsid w:val="0010095E"/>
    <w:rsid w:val="00125B37"/>
    <w:rsid w:val="00162190"/>
    <w:rsid w:val="00187494"/>
    <w:rsid w:val="001F32AE"/>
    <w:rsid w:val="00246A05"/>
    <w:rsid w:val="002767FF"/>
    <w:rsid w:val="002B18FE"/>
    <w:rsid w:val="002B5493"/>
    <w:rsid w:val="00310618"/>
    <w:rsid w:val="00343214"/>
    <w:rsid w:val="00361C00"/>
    <w:rsid w:val="00395FA1"/>
    <w:rsid w:val="003B2455"/>
    <w:rsid w:val="003D6A1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3E38"/>
    <w:rsid w:val="006F74FA"/>
    <w:rsid w:val="00704D13"/>
    <w:rsid w:val="00707BFC"/>
    <w:rsid w:val="00731ADD"/>
    <w:rsid w:val="00734777"/>
    <w:rsid w:val="00747932"/>
    <w:rsid w:val="00751A4A"/>
    <w:rsid w:val="00756632"/>
    <w:rsid w:val="00762C74"/>
    <w:rsid w:val="007647B5"/>
    <w:rsid w:val="00786EC0"/>
    <w:rsid w:val="007B20BD"/>
    <w:rsid w:val="007D1690"/>
    <w:rsid w:val="007D2D69"/>
    <w:rsid w:val="007E22AD"/>
    <w:rsid w:val="00817416"/>
    <w:rsid w:val="00842779"/>
    <w:rsid w:val="00865F67"/>
    <w:rsid w:val="00881A7B"/>
    <w:rsid w:val="008840E5"/>
    <w:rsid w:val="00887B3E"/>
    <w:rsid w:val="008C2AC6"/>
    <w:rsid w:val="008F76E9"/>
    <w:rsid w:val="00930C23"/>
    <w:rsid w:val="0093193B"/>
    <w:rsid w:val="009509D8"/>
    <w:rsid w:val="00950B64"/>
    <w:rsid w:val="00981893"/>
    <w:rsid w:val="009E1674"/>
    <w:rsid w:val="00A1687D"/>
    <w:rsid w:val="00A42FE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57E"/>
    <w:rsid w:val="00D56C11"/>
    <w:rsid w:val="00D834A0"/>
    <w:rsid w:val="00D872DF"/>
    <w:rsid w:val="00D91E21"/>
    <w:rsid w:val="00DA7FCD"/>
    <w:rsid w:val="00E365E1"/>
    <w:rsid w:val="00E820A4"/>
    <w:rsid w:val="00E8725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C5169"/>
  <w15:chartTrackingRefBased/>
  <w15:docId w15:val="{10570447-568B-4B0A-A4D6-C26A7A1A4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B6FD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0B6FD7"/>
    <w:pPr>
      <w:keepNext/>
      <w:spacing w:after="480"/>
      <w:jc w:val="center"/>
    </w:pPr>
    <w:rPr>
      <w:rFonts w:ascii="Arial" w:hAnsi="Arial" w:cs="Arial"/>
      <w:b/>
    </w:rPr>
  </w:style>
  <w:style w:type="paragraph" w:customStyle="1" w:styleId="NormalBold">
    <w:name w:val="NormalBold"/>
    <w:basedOn w:val="Normal"/>
    <w:rsid w:val="000B6FD7"/>
    <w:rPr>
      <w:b/>
    </w:rPr>
  </w:style>
  <w:style w:type="paragraph" w:customStyle="1" w:styleId="NormalHanging12a">
    <w:name w:val="NormalHanging12a"/>
    <w:basedOn w:val="Normal"/>
    <w:link w:val="NormalHanging12aChar"/>
    <w:rsid w:val="000B6FD7"/>
    <w:pPr>
      <w:spacing w:after="240"/>
      <w:ind w:left="567" w:hanging="567"/>
    </w:pPr>
  </w:style>
  <w:style w:type="paragraph" w:styleId="Header">
    <w:name w:val="header"/>
    <w:basedOn w:val="Normal"/>
    <w:link w:val="HeaderChar"/>
    <w:rsid w:val="000B6FD7"/>
    <w:pPr>
      <w:tabs>
        <w:tab w:val="center" w:pos="4513"/>
        <w:tab w:val="right" w:pos="9026"/>
      </w:tabs>
    </w:pPr>
  </w:style>
  <w:style w:type="character" w:customStyle="1" w:styleId="HeaderChar">
    <w:name w:val="Header Char"/>
    <w:basedOn w:val="DefaultParagraphFont"/>
    <w:link w:val="Header"/>
    <w:rsid w:val="000B6FD7"/>
    <w:rPr>
      <w:sz w:val="24"/>
      <w:lang w:val="sv-SE"/>
    </w:rPr>
  </w:style>
  <w:style w:type="paragraph" w:customStyle="1" w:styleId="EPFooter">
    <w:name w:val="EPFooter"/>
    <w:basedOn w:val="Normal"/>
    <w:rsid w:val="000B6FD7"/>
    <w:pPr>
      <w:tabs>
        <w:tab w:val="center" w:pos="4535"/>
        <w:tab w:val="right" w:pos="9071"/>
      </w:tabs>
      <w:spacing w:before="240" w:after="240"/>
    </w:pPr>
    <w:rPr>
      <w:color w:val="010000"/>
      <w:sz w:val="22"/>
    </w:rPr>
  </w:style>
  <w:style w:type="paragraph" w:customStyle="1" w:styleId="EPComma">
    <w:name w:val="EPComma"/>
    <w:basedOn w:val="Normal"/>
    <w:rsid w:val="000B6FD7"/>
    <w:pPr>
      <w:spacing w:before="480" w:after="240"/>
    </w:pPr>
  </w:style>
  <w:style w:type="character" w:styleId="Hyperlink">
    <w:name w:val="Hyperlink"/>
    <w:basedOn w:val="DefaultParagraphFont"/>
    <w:uiPriority w:val="99"/>
    <w:rsid w:val="000B6FD7"/>
    <w:rPr>
      <w:color w:val="0563C1" w:themeColor="hyperlink"/>
      <w:u w:val="single"/>
    </w:rPr>
  </w:style>
  <w:style w:type="character" w:customStyle="1" w:styleId="NormalHanging12aChar">
    <w:name w:val="NormalHanging12a Char"/>
    <w:basedOn w:val="DefaultParagraphFont"/>
    <w:link w:val="NormalHanging12a"/>
    <w:locked/>
    <w:rsid w:val="000B6FD7"/>
    <w:rPr>
      <w:sz w:val="24"/>
      <w:lang w:val="sv-SE"/>
    </w:rPr>
  </w:style>
  <w:style w:type="character" w:customStyle="1" w:styleId="PageHeadingChar">
    <w:name w:val="PageHeading Char"/>
    <w:basedOn w:val="DefaultParagraphFont"/>
    <w:link w:val="PageHeading"/>
    <w:locked/>
    <w:rsid w:val="000B6FD7"/>
    <w:rPr>
      <w:rFonts w:ascii="Arial" w:hAnsi="Arial" w:cs="Arial"/>
      <w:b/>
      <w:sz w:val="24"/>
      <w:lang w:val="sv-SE"/>
    </w:rPr>
  </w:style>
  <w:style w:type="paragraph" w:customStyle="1" w:styleId="Titreobjet">
    <w:name w:val="Titre objet"/>
    <w:basedOn w:val="Normal"/>
    <w:next w:val="Normal"/>
    <w:rsid w:val="000B6FD7"/>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0B6FD7"/>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0B6FD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B6FD7"/>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0B6FD7"/>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0B6FD7"/>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0B6FD7"/>
    <w:pPr>
      <w:widowControl/>
      <w:tabs>
        <w:tab w:val="left" w:pos="4252"/>
      </w:tabs>
    </w:pPr>
    <w:rPr>
      <w:rFonts w:eastAsiaTheme="minorHAnsi"/>
      <w:i/>
      <w:szCs w:val="22"/>
      <w:lang w:eastAsia="en-US"/>
    </w:rPr>
  </w:style>
  <w:style w:type="paragraph" w:customStyle="1" w:styleId="Titrearticle">
    <w:name w:val="Titre article"/>
    <w:basedOn w:val="Normal"/>
    <w:next w:val="Normal"/>
    <w:rsid w:val="000B6FD7"/>
    <w:pPr>
      <w:keepNext/>
      <w:widowControl/>
      <w:spacing w:before="360" w:after="120"/>
      <w:jc w:val="center"/>
    </w:pPr>
    <w:rPr>
      <w:rFonts w:eastAsiaTheme="minorHAnsi"/>
      <w:i/>
      <w:szCs w:val="22"/>
      <w:lang w:eastAsia="en-US"/>
    </w:rPr>
  </w:style>
  <w:style w:type="paragraph" w:styleId="Footer">
    <w:name w:val="footer"/>
    <w:basedOn w:val="Normal"/>
    <w:link w:val="FooterChar"/>
    <w:rsid w:val="00162190"/>
    <w:pPr>
      <w:tabs>
        <w:tab w:val="center" w:pos="4513"/>
        <w:tab w:val="right" w:pos="9026"/>
      </w:tabs>
    </w:pPr>
  </w:style>
  <w:style w:type="character" w:customStyle="1" w:styleId="FooterChar">
    <w:name w:val="Footer Char"/>
    <w:basedOn w:val="DefaultParagraphFont"/>
    <w:link w:val="Footer"/>
    <w:rsid w:val="00162190"/>
    <w:rPr>
      <w:sz w:val="24"/>
      <w:lang w:val="sv-SE"/>
    </w:rPr>
  </w:style>
  <w:style w:type="paragraph" w:styleId="Revision">
    <w:name w:val="Revision"/>
    <w:hidden/>
    <w:uiPriority w:val="99"/>
    <w:semiHidden/>
    <w:rsid w:val="00162190"/>
    <w:rPr>
      <w:sz w:val="24"/>
      <w:lang w:val="sv-SE"/>
    </w:rPr>
  </w:style>
  <w:style w:type="character" w:styleId="CommentReference">
    <w:name w:val="annotation reference"/>
    <w:basedOn w:val="DefaultParagraphFont"/>
    <w:rsid w:val="00162190"/>
    <w:rPr>
      <w:sz w:val="16"/>
      <w:szCs w:val="16"/>
    </w:rPr>
  </w:style>
  <w:style w:type="paragraph" w:styleId="CommentText">
    <w:name w:val="annotation text"/>
    <w:basedOn w:val="Normal"/>
    <w:link w:val="CommentTextChar"/>
    <w:rsid w:val="00162190"/>
    <w:rPr>
      <w:sz w:val="20"/>
    </w:rPr>
  </w:style>
  <w:style w:type="character" w:customStyle="1" w:styleId="CommentTextChar">
    <w:name w:val="Comment Text Char"/>
    <w:basedOn w:val="DefaultParagraphFont"/>
    <w:link w:val="CommentText"/>
    <w:rsid w:val="00162190"/>
    <w:rPr>
      <w:lang w:val="sv-SE"/>
    </w:rPr>
  </w:style>
  <w:style w:type="paragraph" w:styleId="CommentSubject">
    <w:name w:val="annotation subject"/>
    <w:basedOn w:val="CommentText"/>
    <w:next w:val="CommentText"/>
    <w:link w:val="CommentSubjectChar"/>
    <w:rsid w:val="00162190"/>
    <w:rPr>
      <w:b/>
      <w:bCs/>
    </w:rPr>
  </w:style>
  <w:style w:type="character" w:customStyle="1" w:styleId="CommentSubjectChar">
    <w:name w:val="Comment Subject Char"/>
    <w:basedOn w:val="CommentTextChar"/>
    <w:link w:val="CommentSubject"/>
    <w:rsid w:val="00162190"/>
    <w:rPr>
      <w:b/>
      <w:bCs/>
      <w:lang w:val="sv-SE"/>
    </w:rPr>
  </w:style>
  <w:style w:type="character" w:styleId="UnresolvedMention">
    <w:name w:val="Unresolved Mention"/>
    <w:basedOn w:val="DefaultParagraphFont"/>
    <w:uiPriority w:val="99"/>
    <w:semiHidden/>
    <w:unhideWhenUsed/>
    <w:rsid w:val="00162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1515</Words>
  <Characters>10005</Characters>
  <Application>Microsoft Office Word</Application>
  <DocSecurity>0</DocSecurity>
  <Lines>83</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2026-05-18T09:50:00Z</dcterms:created>
  <dcterms:modified xsi:type="dcterms:W3CDTF">2026-05-18T09:50:00Z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P10_TA(2026)0102_</vt:lpwstr>
  </property>
  <property fmtid="{D5CDD505-2E9C-101B-9397-08002B2CF9AE}" pid="4" name="&lt;Type&gt;">
    <vt:lpwstr>RR</vt:lpwstr>
  </property>
</Properties>
</file>