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0804" w14:paraId="6F374F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40EEC7" w14:textId="77777777" w:rsidR="00751A4A" w:rsidRPr="003F0804" w:rsidRDefault="002373BF" w:rsidP="0010095E">
            <w:pPr>
              <w:pStyle w:val="EPName"/>
            </w:pPr>
            <w:r w:rsidRPr="003F0804">
              <w:t>Evropský parlament</w:t>
            </w:r>
          </w:p>
          <w:p w14:paraId="2E15238F" w14:textId="77777777" w:rsidR="00751A4A" w:rsidRPr="003F08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0804">
              <w:t>2024</w:t>
            </w:r>
            <w:r w:rsidR="00817416" w:rsidRPr="003F0804">
              <w:t>-202</w:t>
            </w:r>
            <w:r w:rsidRPr="003F0804">
              <w:t>9</w:t>
            </w:r>
          </w:p>
        </w:tc>
        <w:tc>
          <w:tcPr>
            <w:tcW w:w="2268" w:type="dxa"/>
            <w:shd w:val="clear" w:color="auto" w:fill="auto"/>
          </w:tcPr>
          <w:p w14:paraId="7C01E190" w14:textId="77777777" w:rsidR="00751A4A" w:rsidRPr="003F0804" w:rsidRDefault="00187494" w:rsidP="0010095E">
            <w:pPr>
              <w:pStyle w:val="EPLogo"/>
            </w:pPr>
            <w:r w:rsidRPr="003F0804">
              <w:rPr>
                <w:noProof/>
                <w:lang w:eastAsia="ja-JP"/>
              </w:rPr>
              <w:drawing>
                <wp:inline distT="0" distB="0" distL="0" distR="0" wp14:anchorId="4D157CC8" wp14:editId="4C60E7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F16A1E" w14:textId="77777777" w:rsidR="00D058B8" w:rsidRPr="003F0804" w:rsidRDefault="00D058B8" w:rsidP="004C5D52">
      <w:pPr>
        <w:pStyle w:val="LineTop"/>
      </w:pPr>
    </w:p>
    <w:p w14:paraId="4380D68B" w14:textId="77777777" w:rsidR="00680577" w:rsidRPr="003F0804" w:rsidRDefault="002373BF" w:rsidP="00680577">
      <w:pPr>
        <w:pStyle w:val="EPBodyTA1"/>
      </w:pPr>
      <w:r w:rsidRPr="003F0804">
        <w:t>PŘIJATÉ TEXTY</w:t>
      </w:r>
    </w:p>
    <w:p w14:paraId="40B35D93" w14:textId="77777777" w:rsidR="00D058B8" w:rsidRPr="003F0804" w:rsidRDefault="00D058B8" w:rsidP="00D058B8">
      <w:pPr>
        <w:pStyle w:val="LineBottom"/>
      </w:pPr>
    </w:p>
    <w:p w14:paraId="3C19AA64" w14:textId="659DF733" w:rsidR="002373BF" w:rsidRPr="006E4499" w:rsidRDefault="002373BF" w:rsidP="002373BF">
      <w:pPr>
        <w:pStyle w:val="ATHeading1"/>
      </w:pPr>
      <w:bookmarkStart w:id="0" w:name="TANumber"/>
      <w:r w:rsidRPr="006E4499">
        <w:t>P10_TA(2026)0</w:t>
      </w:r>
      <w:r w:rsidR="004E59C8">
        <w:t>1</w:t>
      </w:r>
      <w:r w:rsidRPr="006E4499">
        <w:t>0</w:t>
      </w:r>
      <w:r w:rsidR="004E59C8">
        <w:t>3</w:t>
      </w:r>
      <w:bookmarkEnd w:id="0"/>
    </w:p>
    <w:p w14:paraId="3FAA9DF0" w14:textId="77777777" w:rsidR="002373BF" w:rsidRPr="006E4499" w:rsidRDefault="002373BF" w:rsidP="002373BF">
      <w:pPr>
        <w:pStyle w:val="ATHeading2"/>
      </w:pPr>
      <w:bookmarkStart w:id="1" w:name="title"/>
      <w:r w:rsidRPr="006E4499">
        <w:t>Uvolnění prostředků z Evropského fondu pro přizpůsobení se globalizaci na pomoc propuštěným pracovníkům: žádost EGF/2025/005 AT/KTM – Rakousko</w:t>
      </w:r>
      <w:bookmarkEnd w:id="1"/>
    </w:p>
    <w:p w14:paraId="0F79D157" w14:textId="77777777" w:rsidR="002373BF" w:rsidRPr="003F0804" w:rsidRDefault="002373BF" w:rsidP="002373BF">
      <w:pPr>
        <w:rPr>
          <w:i/>
          <w:vanish/>
        </w:rPr>
      </w:pPr>
      <w:r w:rsidRPr="003F0804">
        <w:rPr>
          <w:i/>
        </w:rPr>
        <w:fldChar w:fldCharType="begin"/>
      </w:r>
      <w:r w:rsidRPr="003F0804">
        <w:rPr>
          <w:i/>
        </w:rPr>
        <w:instrText xml:space="preserve"> TC"(</w:instrText>
      </w:r>
      <w:bookmarkStart w:id="2" w:name="DocNumber"/>
      <w:r w:rsidRPr="003F0804">
        <w:rPr>
          <w:i/>
        </w:rPr>
        <w:instrText>A10-0060/2026</w:instrText>
      </w:r>
      <w:bookmarkEnd w:id="2"/>
      <w:r w:rsidRPr="003F0804">
        <w:rPr>
          <w:i/>
        </w:rPr>
        <w:instrText xml:space="preserve"> - Zpravodaj: Janusz </w:instrText>
      </w:r>
      <w:proofErr w:type="spellStart"/>
      <w:r w:rsidRPr="003F0804">
        <w:rPr>
          <w:i/>
        </w:rPr>
        <w:instrText>Lewandowski</w:instrText>
      </w:r>
      <w:proofErr w:type="spellEnd"/>
      <w:r w:rsidRPr="003F0804">
        <w:rPr>
          <w:i/>
        </w:rPr>
        <w:instrText xml:space="preserve">)"\l3 \n&gt; \* MERGEFORMAT </w:instrText>
      </w:r>
      <w:r w:rsidRPr="003F0804">
        <w:rPr>
          <w:i/>
        </w:rPr>
        <w:fldChar w:fldCharType="end"/>
      </w:r>
    </w:p>
    <w:p w14:paraId="4F609F37" w14:textId="77777777" w:rsidR="002373BF" w:rsidRPr="003F0804" w:rsidRDefault="002373BF" w:rsidP="002373BF">
      <w:pPr>
        <w:rPr>
          <w:vanish/>
        </w:rPr>
      </w:pPr>
      <w:bookmarkStart w:id="3" w:name="Commission"/>
      <w:r w:rsidRPr="003F0804">
        <w:rPr>
          <w:vanish/>
        </w:rPr>
        <w:t>Rozpočtový výbor</w:t>
      </w:r>
      <w:bookmarkEnd w:id="3"/>
    </w:p>
    <w:p w14:paraId="48C8EC0E" w14:textId="77777777" w:rsidR="002373BF" w:rsidRPr="003F0804" w:rsidRDefault="002373BF" w:rsidP="002373BF">
      <w:pPr>
        <w:rPr>
          <w:vanish/>
        </w:rPr>
      </w:pPr>
      <w:bookmarkStart w:id="4" w:name="PE"/>
      <w:r w:rsidRPr="003F0804">
        <w:rPr>
          <w:vanish/>
        </w:rPr>
        <w:t>PE784.472</w:t>
      </w:r>
      <w:bookmarkEnd w:id="4"/>
    </w:p>
    <w:p w14:paraId="5F149E37" w14:textId="74ED5B68" w:rsidR="002373BF" w:rsidRPr="006E4499" w:rsidRDefault="002373BF" w:rsidP="002373BF">
      <w:pPr>
        <w:pStyle w:val="ATHeading3"/>
      </w:pPr>
      <w:bookmarkStart w:id="5" w:name="Sujet"/>
      <w:r w:rsidRPr="006E4499">
        <w:t xml:space="preserve">Usnesení Evropského parlamentu ze </w:t>
      </w:r>
      <w:r w:rsidRPr="00806EB6">
        <w:t>dne 2</w:t>
      </w:r>
      <w:r w:rsidR="00806EB6">
        <w:t>6</w:t>
      </w:r>
      <w:r w:rsidRPr="00806EB6">
        <w:t xml:space="preserve">. března </w:t>
      </w:r>
      <w:r w:rsidRPr="006E4499">
        <w:t>2026 o návrhu rozhodnutí Evropského parlamentu a Rady o uvolnění prostředků z Evropského fondu pro přizpůsobení se globalizaci na pomoc propuštěným pracovníkům na základě žádosti Rakouska – EGF/2025/005 AT/KTM</w:t>
      </w:r>
      <w:bookmarkEnd w:id="5"/>
      <w:r w:rsidRPr="006E4499">
        <w:t xml:space="preserve"> </w:t>
      </w:r>
      <w:bookmarkStart w:id="6" w:name="References"/>
      <w:r w:rsidRPr="006E4499">
        <w:t>(</w:t>
      </w:r>
      <w:proofErr w:type="gramStart"/>
      <w:r w:rsidRPr="006E4499">
        <w:t>COM(</w:t>
      </w:r>
      <w:proofErr w:type="gramEnd"/>
      <w:r w:rsidRPr="006E4499">
        <w:t>2026)0010 – C10-0026/2026 – 2026/0037(BUD))</w:t>
      </w:r>
      <w:bookmarkEnd w:id="6"/>
    </w:p>
    <w:p w14:paraId="05C937F0" w14:textId="77777777" w:rsidR="008C7D4E" w:rsidRPr="003F0804" w:rsidRDefault="008C7D4E" w:rsidP="008C7D4E">
      <w:pPr>
        <w:pStyle w:val="EPComma"/>
        <w:rPr>
          <w:noProof/>
        </w:rPr>
      </w:pPr>
      <w:r w:rsidRPr="003F0804">
        <w:rPr>
          <w:i/>
        </w:rPr>
        <w:t>Evropský parlament</w:t>
      </w:r>
      <w:r w:rsidRPr="003F0804">
        <w:t>,</w:t>
      </w:r>
    </w:p>
    <w:p w14:paraId="1373B208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–</w:t>
      </w:r>
      <w:r w:rsidRPr="003F0804">
        <w:tab/>
        <w:t>s ohledem na návrh Komise předložený Evropskému parlamentu a Radě (</w:t>
      </w:r>
      <w:proofErr w:type="gramStart"/>
      <w:r w:rsidRPr="003F0804">
        <w:t>COM(</w:t>
      </w:r>
      <w:proofErr w:type="gramEnd"/>
      <w:r w:rsidRPr="003F0804">
        <w:t>2026)0010 – C10</w:t>
      </w:r>
      <w:r w:rsidRPr="003F0804">
        <w:noBreakHyphen/>
        <w:t>0026/2026),</w:t>
      </w:r>
    </w:p>
    <w:p w14:paraId="58818717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–</w:t>
      </w:r>
      <w:r w:rsidRPr="003F0804">
        <w:tab/>
        <w:t>s ohledem na nařízení Evropského parlamentu a Rady (EU) 2021/691 ze dne 28. dubna 2021 o Evropském fondu pro přizpůsobení se globalizaci na pomoc propuštěným pracovníkům (EFG) a o zrušení nařízení (EU) č. 1309/2013</w:t>
      </w:r>
      <w:r w:rsidRPr="003F0804">
        <w:rPr>
          <w:noProof/>
          <w:vertAlign w:val="superscript"/>
        </w:rPr>
        <w:footnoteReference w:id="1"/>
      </w:r>
      <w:r w:rsidRPr="003F0804">
        <w:t xml:space="preserve"> (dále jen „nařízení o EFG“), </w:t>
      </w:r>
    </w:p>
    <w:p w14:paraId="7C28614E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–</w:t>
      </w:r>
      <w:r w:rsidRPr="003F0804">
        <w:tab/>
        <w:t>s ohledem na nařízení Rady (EU, Euratom) 2020/2093 ze dne 17. prosince 2020, kterým se stanoví víceletý finanční rámec na období 2021–2027</w:t>
      </w:r>
      <w:r w:rsidRPr="003F0804">
        <w:rPr>
          <w:noProof/>
          <w:vertAlign w:val="superscript"/>
        </w:rPr>
        <w:footnoteReference w:id="2"/>
      </w:r>
      <w:r w:rsidRPr="003F0804">
        <w:t>, ve znění nařízení (EU, Euratom) 2024/765</w:t>
      </w:r>
      <w:r w:rsidRPr="003F0804">
        <w:rPr>
          <w:noProof/>
          <w:vertAlign w:val="superscript"/>
        </w:rPr>
        <w:footnoteReference w:id="3"/>
      </w:r>
      <w:r w:rsidRPr="003F0804">
        <w:t xml:space="preserve"> (dále jen „nařízení o VFR“), a zejména na článek 8 tohoto nařízení, </w:t>
      </w:r>
    </w:p>
    <w:p w14:paraId="3429F961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–</w:t>
      </w:r>
      <w:r w:rsidRPr="003F0804">
        <w:tab/>
        <w:t>s 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3F0804">
        <w:rPr>
          <w:noProof/>
          <w:vertAlign w:val="superscript"/>
        </w:rPr>
        <w:footnoteReference w:id="4"/>
      </w:r>
      <w:r w:rsidRPr="003F0804">
        <w:t xml:space="preserve">, a zejména na článek 9 této </w:t>
      </w:r>
      <w:r w:rsidRPr="003F0804">
        <w:lastRenderedPageBreak/>
        <w:t>dohody,</w:t>
      </w:r>
    </w:p>
    <w:p w14:paraId="4950C472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–</w:t>
      </w:r>
      <w:r w:rsidRPr="003F0804">
        <w:tab/>
        <w:t>s ohledem na evropský pilíř sociálních práv,</w:t>
      </w:r>
    </w:p>
    <w:p w14:paraId="3A8D2AD2" w14:textId="77777777" w:rsidR="008C7D4E" w:rsidRPr="003F0804" w:rsidRDefault="008C7D4E" w:rsidP="008C7D4E">
      <w:pPr>
        <w:pStyle w:val="NormalHanging12a"/>
      </w:pPr>
      <w:r w:rsidRPr="003F0804">
        <w:t>–</w:t>
      </w:r>
      <w:r w:rsidRPr="003F0804">
        <w:tab/>
        <w:t>s ohledem na stanovisko Výboru pro zaměstnanost a sociální věci,</w:t>
      </w:r>
    </w:p>
    <w:p w14:paraId="54B09939" w14:textId="77777777" w:rsidR="008C7D4E" w:rsidRPr="003F0804" w:rsidRDefault="008C7D4E" w:rsidP="008C7D4E">
      <w:pPr>
        <w:pStyle w:val="NormalHanging12a"/>
      </w:pPr>
      <w:r w:rsidRPr="003F0804">
        <w:t>–</w:t>
      </w:r>
      <w:r w:rsidRPr="003F0804">
        <w:tab/>
        <w:t>s ohledem na zprávu Rozpočtového výboru (A10</w:t>
      </w:r>
      <w:r w:rsidRPr="003F0804">
        <w:noBreakHyphen/>
        <w:t>0060/2026),</w:t>
      </w:r>
    </w:p>
    <w:p w14:paraId="15F2FEDE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A.</w:t>
      </w:r>
      <w:r w:rsidRPr="003F0804">
        <w:tab/>
        <w:t>vzhledem k tomu, že Unie vytvořila legislativní a rozpočtové nástroje s cílem poskytovat dodatečnou podporu pracovníkům, kteří jsou postiženi důsledky významných událostí a změn ve struktuře světového obchodu, a pomáhat jim při opětovném začleňování na trh práce; vzhledem k tomu, že tato pomoc jim je poskytována v podobě finanční podpory;</w:t>
      </w:r>
    </w:p>
    <w:p w14:paraId="2628585A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B.</w:t>
      </w:r>
      <w:r w:rsidRPr="003F0804">
        <w:tab/>
        <w:t>vzhledem k tomu, že Rakousko předložilo žádost EGF/2025/005 AT/KTM o finanční příspěvek z EFG v souvislosti s propuštěním 1 488 pracovníků</w:t>
      </w:r>
      <w:r w:rsidRPr="003F0804">
        <w:rPr>
          <w:noProof/>
          <w:vertAlign w:val="superscript"/>
        </w:rPr>
        <w:footnoteReference w:id="5"/>
      </w:r>
      <w:r w:rsidRPr="003F0804">
        <w:t xml:space="preserve"> v podniku KTM </w:t>
      </w:r>
      <w:proofErr w:type="spellStart"/>
      <w:r w:rsidRPr="003F0804">
        <w:t>Gruppe</w:t>
      </w:r>
      <w:proofErr w:type="spellEnd"/>
      <w:r w:rsidRPr="003F0804">
        <w:t xml:space="preserve"> (dále jen „KTM“) v regionu Horní Rakousko (AT 31), který působí v hospodářském odvětví, jež je v rámci klasifikace NACE Revize 2 řazeno do oddílu 30 (Výroba ostatních dopravních prostředků a zařízení), přičemž 233 pracovníků bylo propuštěno v referenčním období od 25. února 2025 do 25. června 2025 a 1 255 pracovníků před a po uvedeném referenčním období; </w:t>
      </w:r>
    </w:p>
    <w:p w14:paraId="74D23608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C.</w:t>
      </w:r>
      <w:r w:rsidRPr="003F0804">
        <w:tab/>
        <w:t>vzhledem k tomu, že žádost se opírá o kritéria pro pomoc podle čl. 4 odst. 2 písm. a) nařízení o EFG, které stanoví, že žádost se musí týkat nejméně 200 propuštěných pracovníků nebo osob samostatně výdělečně činných během referenčního období v délce čtyř měsíců v jednom podniku v členském státě; vzhledem k tomu, že v případě 1 255 pracovníků, kteří byli propuštěni před nebo po čtyřměsíčním referenčním období, lze prokázat jednoznačnou příčinnou souvislost s událostí, jež vedla k propouštění pracovníků během referenčního období, jak vyžaduje čl. 6 odst. 2 nařízení o EFG;</w:t>
      </w:r>
    </w:p>
    <w:p w14:paraId="3F6FB9BB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D.</w:t>
      </w:r>
      <w:r w:rsidRPr="003F0804">
        <w:tab/>
        <w:t>vzhledem k tomu, že dne 29. listopadu 2024 podal KTM insolvenční návrh a dne 25. února 2025 byl schválen plán restrukturalizace; vzhledem k tomu, že některá rozhodnutí tohoto podniku týkající se výplaty dividend v letech 2021 a 2024, kdy byl příjemcem veřejné státní podpory během pandemie COVID-19, vyvolávají znepokojení;</w:t>
      </w:r>
    </w:p>
    <w:p w14:paraId="3C351945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E.</w:t>
      </w:r>
      <w:r w:rsidRPr="003F0804">
        <w:tab/>
        <w:t>vzhledem k tomu, že Rakousko uvedlo, že vnitrostátní předběžné financování a spolufinancování příslušných opatření zajišťuje Služba pro trh práce (</w:t>
      </w:r>
      <w:proofErr w:type="spellStart"/>
      <w:r w:rsidRPr="003F0804">
        <w:t>Arbeitsmarktservice</w:t>
      </w:r>
      <w:proofErr w:type="spellEnd"/>
      <w:r w:rsidRPr="003F0804">
        <w:t>, AMS) Horního Rakouska a spolková země Horní Rakousko;</w:t>
      </w:r>
    </w:p>
    <w:p w14:paraId="5C1739D7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F.</w:t>
      </w:r>
      <w:r w:rsidRPr="003F0804">
        <w:tab/>
        <w:t>vzhledem k tomu, že byly splněny požadavky stanovené v unijních a vnitrostátních právních předpisech, které se týkají hromadného propouštění;</w:t>
      </w:r>
    </w:p>
    <w:p w14:paraId="0212DBC7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G.</w:t>
      </w:r>
      <w:r w:rsidRPr="003F0804">
        <w:tab/>
        <w:t>vzhledem k tomu, že finanční příspěvky z EFG by měly být primárně zaměřeny na aktivní opatření politiky v oblasti trhu práce a na individualizované služby, jejichž cílem je rychle začlenit příjemce pomoci na trh práce a zároveň jim nabídnout odbornou přípravu v oblasti dovedností, která jim usnadní přístup k budoucím potřebám trhu práce a připraví je na ekologickou a digitální transformaci;</w:t>
      </w:r>
    </w:p>
    <w:p w14:paraId="28861FA3" w14:textId="2329ABC5" w:rsidR="008C7D4E" w:rsidRPr="003F0804" w:rsidRDefault="008C7D4E" w:rsidP="008C7D4E">
      <w:pPr>
        <w:pStyle w:val="NormalHanging12a"/>
        <w:rPr>
          <w:noProof/>
        </w:rPr>
      </w:pPr>
      <w:r w:rsidRPr="003F0804">
        <w:t>H.</w:t>
      </w:r>
      <w:r w:rsidRPr="003F0804">
        <w:tab/>
        <w:t xml:space="preserve">vzhledem k tomu, že fond EFG nesmí překročit maximální roční částku </w:t>
      </w:r>
      <w:r w:rsidRPr="003F0804">
        <w:lastRenderedPageBreak/>
        <w:t>30 milionů</w:t>
      </w:r>
      <w:r w:rsidR="00D05C98" w:rsidRPr="003F0804">
        <w:t> </w:t>
      </w:r>
      <w:r w:rsidRPr="003F0804">
        <w:t>EUR (v cenách roku 2018)</w:t>
      </w:r>
      <w:r w:rsidRPr="003F0804">
        <w:rPr>
          <w:noProof/>
          <w:vertAlign w:val="superscript"/>
        </w:rPr>
        <w:footnoteReference w:id="6"/>
      </w:r>
      <w:r w:rsidRPr="003F0804">
        <w:t>;</w:t>
      </w:r>
    </w:p>
    <w:p w14:paraId="3C78687D" w14:textId="77777777" w:rsidR="008C7D4E" w:rsidRPr="003F0804" w:rsidRDefault="008C7D4E" w:rsidP="008C7D4E">
      <w:pPr>
        <w:pStyle w:val="NormalHanging12a"/>
        <w:rPr>
          <w:bCs/>
          <w:iCs/>
          <w:noProof/>
        </w:rPr>
      </w:pPr>
      <w:r w:rsidRPr="003F0804">
        <w:t>I.</w:t>
      </w:r>
      <w:r w:rsidRPr="003F0804">
        <w:tab/>
        <w:t>vzhledem k tomu, že v poslední době se výrobní činnosti přesouvají mimo Unii, což ukazuje, že je nutné posílit konkurenceschopnost a odolnost evropského průmyslu na globálním trhu;</w:t>
      </w:r>
    </w:p>
    <w:p w14:paraId="1D107126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1.</w:t>
      </w:r>
      <w:r w:rsidRPr="003F0804">
        <w:tab/>
        <w:t>souhlasí s Komisí, že podmínky stanovené v nařízení o EFG, a zejména v čl. 4 odst. 2 písm. a) tohoto nařízení byly splněny, a Rakousko má proto podle uvedeného nařízení nárok na finanční příspěvek ve výši 1 806 624 EUR, což představuje 60 % celkových nákladů, které činí 3 011 040 EUR a zahrnují výdaje na individualizované služby ve výši 2 895 120 EUR a výdaje na přípravné, řídicí, informační, propagační, kontrolní a vykazovací činnosti ve výši 115 920 EUR;</w:t>
      </w:r>
    </w:p>
    <w:p w14:paraId="1AD17F78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2.</w:t>
      </w:r>
      <w:r w:rsidRPr="003F0804">
        <w:tab/>
        <w:t>konstatuje, že rakouské orgány podaly žádost dne 15. září 2025 a že Komise poté, co Rakousko poskytlo další informace, dokončila dne 6. února 2026 své posouzení a dne 11. února 2026 o tom informovala Parlament; zdůrazňuje, že je důležité zkrátit dobu mezi podáním žádosti o pomoc z fondu EFG a rozhodnutím o financování a zároveň v plné míře ochránit práva Evropského parlamentu jako jedné složky rozpočtového orgánu;</w:t>
      </w:r>
    </w:p>
    <w:p w14:paraId="7213EF10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3.</w:t>
      </w:r>
      <w:r w:rsidRPr="003F0804">
        <w:tab/>
        <w:t>konstatuje, že žádost se týká 1 488 pracovníků postižených insolvenčním řízením KTM, které bylo dosud největším řízením tohoto druhu v Horním Rakousku; dále poznamenává, že cílovými příjemci bude celkem 420 propuštěných pracovníků, u nichž se očekává, že se budou účastnit příslušných opatření;</w:t>
      </w:r>
    </w:p>
    <w:p w14:paraId="01C73C2A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4.</w:t>
      </w:r>
      <w:r w:rsidRPr="003F0804">
        <w:tab/>
        <w:t xml:space="preserve">konstatuje, že KTM byl největším výrobcem motocyklů v Unii a největší dceřinou společností mateřské společnosti </w:t>
      </w:r>
      <w:proofErr w:type="spellStart"/>
      <w:r w:rsidRPr="003F0804">
        <w:t>Pierer</w:t>
      </w:r>
      <w:proofErr w:type="spellEnd"/>
      <w:r w:rsidRPr="003F0804">
        <w:t xml:space="preserve"> Mobility AG; s politováním konstatuje, že v prosinci 2023 mateřská společnost rozhodla, že kvůli nespravedlivým soutěžním podmínkám přesune výrobu do Číny a Indie; bere na vědomí, že toto rozhodnutí vedlo nejprve ke zrušení 300 pracovních míst a že kvůli následným prodejním ztrátám musel KTM začít snižovat náklady, mimo jiné propuštěním více než 500 zaměstnanců v roce 2024;</w:t>
      </w:r>
    </w:p>
    <w:p w14:paraId="535BDAC4" w14:textId="3B0F1229" w:rsidR="008C7D4E" w:rsidRPr="003F0804" w:rsidRDefault="008C7D4E" w:rsidP="008C7D4E">
      <w:pPr>
        <w:pStyle w:val="NormalHanging12a"/>
        <w:rPr>
          <w:noProof/>
        </w:rPr>
      </w:pPr>
      <w:r w:rsidRPr="003F0804">
        <w:t>5.</w:t>
      </w:r>
      <w:r w:rsidRPr="003F0804">
        <w:tab/>
        <w:t>konstatuje, že mateřská společnost musela přistoupit k restrukturalizaci a že během prvního zastavení výroby v KTM v roce 2025 bylo propuštěno dalších více než 750</w:t>
      </w:r>
      <w:r w:rsidR="008A4345" w:rsidRPr="003F0804">
        <w:t> </w:t>
      </w:r>
      <w:r w:rsidRPr="003F0804">
        <w:t xml:space="preserve">zaměstnanců; bere na vědomí, že dne 22. května 2025 poskytl investor </w:t>
      </w:r>
      <w:proofErr w:type="spellStart"/>
      <w:r w:rsidRPr="003F0804">
        <w:t>Bajaj</w:t>
      </w:r>
      <w:proofErr w:type="spellEnd"/>
      <w:r w:rsidRPr="003F0804">
        <w:t xml:space="preserve"> Auto International </w:t>
      </w:r>
      <w:proofErr w:type="spellStart"/>
      <w:r w:rsidRPr="003F0804">
        <w:t>Holdings</w:t>
      </w:r>
      <w:proofErr w:type="spellEnd"/>
      <w:r w:rsidRPr="003F0804">
        <w:t xml:space="preserve"> B. V. nezbytné zdroje k zajištění pokračování činnosti, čímž se KTM vyhnul úpadku a v červenci 2025 mohl obnovit výrobu, i když byl zároveň nucen snížit výdaje;</w:t>
      </w:r>
    </w:p>
    <w:p w14:paraId="05E4844D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6.</w:t>
      </w:r>
      <w:r w:rsidRPr="003F0804">
        <w:tab/>
        <w:t xml:space="preserve">konstatuje, že KTM byl kdysi jedním z nejúspěšnějších výrobců motocyklů v Evropě, velkým zaměstnavatelem a zásadním hospodářským pilířem pro mnoho dodavatelů v okrese </w:t>
      </w:r>
      <w:proofErr w:type="spellStart"/>
      <w:r w:rsidRPr="003F0804">
        <w:t>Braunau</w:t>
      </w:r>
      <w:proofErr w:type="spellEnd"/>
      <w:r w:rsidRPr="003F0804">
        <w:t xml:space="preserve"> v Horním Rakousku; bere na vědomí, že v důsledku propouštění vzrostla v listopadu 2024 nezaměstnanost v tomto okrese o 37,1 % ve srovnání s listopadem předchozího roku; konstatuje, že v roce 2025 dosáhla nezaměstnanost v okrese </w:t>
      </w:r>
      <w:proofErr w:type="spellStart"/>
      <w:r w:rsidRPr="003F0804">
        <w:t>Braunau</w:t>
      </w:r>
      <w:proofErr w:type="spellEnd"/>
      <w:r w:rsidRPr="003F0804">
        <w:t xml:space="preserve"> rekordní výše; </w:t>
      </w:r>
    </w:p>
    <w:p w14:paraId="2AB42217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7.</w:t>
      </w:r>
      <w:r w:rsidRPr="003F0804">
        <w:tab/>
        <w:t xml:space="preserve">připomíná, že po dohodě se sociálními partnery budou pracovníkům poskytovány individualizované služby, které budou zahrnovat tato opatření: správu případů, profesní poradenství a profesní orientaci, odbornou přípravu a rekvalifikaci, aktivní hledání </w:t>
      </w:r>
      <w:r w:rsidRPr="003F0804">
        <w:lastRenderedPageBreak/>
        <w:t>zaměstnání, příspěvky na odbornou přípravu; zdůrazňuje, že má-li být zajištěna dlouhodobá hospodářská a sociální odolnost, je důležité podporovat kvalitní pracovní místa, která obstojí v budoucnosti; poukazuje na to, že je důležité úzce spolupracovat s regionálními podniky a zaměstnavateli, aby bylo zajištěno, že programy odborné přípravy a rekvalifikace odpovídají konkrétním potřebám pracovního trhu a usnadňují opětovné začlenění propuštěných pracovníků;</w:t>
      </w:r>
    </w:p>
    <w:p w14:paraId="5B8C94F6" w14:textId="77777777" w:rsidR="008C7D4E" w:rsidRPr="003F0804" w:rsidRDefault="008C7D4E" w:rsidP="008C7D4E">
      <w:pPr>
        <w:pStyle w:val="NormalHanging12a"/>
        <w:rPr>
          <w:bCs/>
          <w:iCs/>
          <w:noProof/>
        </w:rPr>
      </w:pPr>
      <w:r w:rsidRPr="003F0804">
        <w:t>8.</w:t>
      </w:r>
      <w:r w:rsidRPr="003F0804">
        <w:tab/>
        <w:t>připomíná, že EFG je nástrojem solidarity a spravedlivé transformace, a přestože poskytuje podporu po ztrátě pracovních míst, nemůže nahradit proaktivní průmyslovou politiku; zdůrazňuje, že Unie musí v prvé řadě předcházet samotnému uzavírání podniků tím, že bude vytvářet podmínky pro udržení konkurenceschopnosti průmyslové výroby a zároveň investovat do dovedností jak vysoce kvalifikovaných pracovníků, tak pracovníků v průmyslu; klade důraz na potřebu poskytovat pracovníkům s nízkou úrovní vzdělání zvláštní individualizovanou podporu přizpůsobenou jejich profilům a zároveň přijímat opatření ke snížení počtu úpadků a k řešení sociálních nerovností, které mají za následek vyloučení z pracovního trhu;</w:t>
      </w:r>
    </w:p>
    <w:p w14:paraId="3B3B7B95" w14:textId="77777777" w:rsidR="008C7D4E" w:rsidRPr="003F0804" w:rsidRDefault="008C7D4E" w:rsidP="008C7D4E">
      <w:pPr>
        <w:pStyle w:val="NormalHanging12a"/>
        <w:rPr>
          <w:bCs/>
          <w:iCs/>
          <w:noProof/>
        </w:rPr>
      </w:pPr>
      <w:r w:rsidRPr="003F0804">
        <w:t>9.</w:t>
      </w:r>
      <w:r w:rsidRPr="003F0804">
        <w:tab/>
        <w:t>zdůrazňuje, že rakouské orgány musí zviditelnit financování z prostředků Unie a vyzdvihnout jeho přínosy tím, že budou příjemcům, regionálním a místním orgánům, sociálním partnerům a širší veřejnosti poskytovat efektivní a cílené informace;</w:t>
      </w:r>
    </w:p>
    <w:p w14:paraId="7400D147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10.</w:t>
      </w:r>
      <w:r w:rsidRPr="003F0804">
        <w:tab/>
        <w:t>vyzývá k důkladnému závěrečnému zhodnocení prováděných opatření, včetně jasných informací o tom, jak byly finanční prostředky využity a zda byly vynaloženy v souladu se schválenými plány;</w:t>
      </w:r>
    </w:p>
    <w:p w14:paraId="5E697BF0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11.</w:t>
      </w:r>
      <w:r w:rsidRPr="003F0804">
        <w:tab/>
        <w:t>konstatuje, že dne 1. března 2025 Rakousko začalo poskytovat individualizované služby cílovým příjemcům a od tohoto data mu začaly vznikat i správní výdaje spojené s prováděním EFG, a že období způsobilosti pro finanční příspěvek z EFG tudíž začíná tímto dnem a končí 24, respektive 31 měsíců ode dne vstupu rozhodnutí o financování v platnost;</w:t>
      </w:r>
    </w:p>
    <w:p w14:paraId="0FC49CCD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12.</w:t>
      </w:r>
      <w:r w:rsidRPr="003F0804">
        <w:tab/>
        <w:t>konstatuje, že rakouské orgány zaručily, že v rámci přístupu k navrhovaným opatřením a při jejich provádění budou dodržovat zásady rovného zacházení a nediskriminace a že zamezí dvojímu financování;</w:t>
      </w:r>
    </w:p>
    <w:p w14:paraId="04C02C8F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13.</w:t>
      </w:r>
      <w:r w:rsidRPr="003F0804">
        <w:tab/>
        <w:t>opakuje, že pomoc z EFG nesmí nahrazovat opatření, za něž na základě vnitrostátních právních předpisů nebo kolektivních smluv odpovídají podniky;</w:t>
      </w:r>
    </w:p>
    <w:p w14:paraId="5B7A1362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14.</w:t>
      </w:r>
      <w:r w:rsidRPr="003F0804">
        <w:tab/>
        <w:t>schvaluje rozhodnutí uvedené v příloze k tomuto usnesení;</w:t>
      </w:r>
    </w:p>
    <w:p w14:paraId="75468199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15.</w:t>
      </w:r>
      <w:r w:rsidRPr="003F0804">
        <w:tab/>
        <w:t>pověřuje svou předsedkyni, aby podepsala toto rozhodnutí společně s předsedou Rady a aby zajistila jeho zveřejnění v </w:t>
      </w:r>
      <w:r w:rsidRPr="003F0804">
        <w:rPr>
          <w:i/>
          <w:iCs/>
        </w:rPr>
        <w:t>Úředním věstníku Evropské unie;</w:t>
      </w:r>
    </w:p>
    <w:p w14:paraId="2CE6B31C" w14:textId="77777777" w:rsidR="008C7D4E" w:rsidRPr="003F0804" w:rsidRDefault="008C7D4E" w:rsidP="008C7D4E">
      <w:pPr>
        <w:pStyle w:val="NormalHanging12a"/>
        <w:rPr>
          <w:noProof/>
        </w:rPr>
      </w:pPr>
      <w:r w:rsidRPr="003F0804">
        <w:t>16.</w:t>
      </w:r>
      <w:r w:rsidRPr="003F0804">
        <w:tab/>
        <w:t>pověřuje svou předsedkyni, aby předala toto usnesení včetně přílohy Radě a Komisi.</w:t>
      </w:r>
    </w:p>
    <w:p w14:paraId="2971FBA3" w14:textId="77777777" w:rsidR="008C7D4E" w:rsidRPr="003F0804" w:rsidRDefault="008C7D4E" w:rsidP="008C7D4E">
      <w:pPr>
        <w:rPr>
          <w:noProof/>
        </w:rPr>
      </w:pPr>
    </w:p>
    <w:p w14:paraId="14CF541D" w14:textId="77777777" w:rsidR="008C7D4E" w:rsidRPr="003F0804" w:rsidRDefault="008C7D4E" w:rsidP="008C7D4E">
      <w:pPr>
        <w:pStyle w:val="PageHeading"/>
        <w:rPr>
          <w:noProof/>
        </w:rPr>
        <w:sectPr w:rsidR="008C7D4E" w:rsidRPr="003F0804" w:rsidSect="007E1F32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3B4F941" w14:textId="77777777" w:rsidR="0002088D" w:rsidRPr="0002088D" w:rsidRDefault="008C7D4E" w:rsidP="008C7D4E">
      <w:pPr>
        <w:pStyle w:val="PageHeading"/>
        <w:rPr>
          <w:rFonts w:ascii="Times New Roman" w:hAnsi="Times New Roman" w:cs="Times New Roman"/>
        </w:rPr>
      </w:pPr>
      <w:bookmarkStart w:id="7" w:name="_Toc224813571"/>
      <w:r w:rsidRPr="0002088D">
        <w:rPr>
          <w:rFonts w:ascii="Times New Roman" w:hAnsi="Times New Roman" w:cs="Times New Roman"/>
        </w:rPr>
        <w:lastRenderedPageBreak/>
        <w:t>PŘÍLOHA</w:t>
      </w:r>
    </w:p>
    <w:p w14:paraId="70DAA357" w14:textId="7360CD68" w:rsidR="008C7D4E" w:rsidRPr="0002088D" w:rsidRDefault="008C7D4E" w:rsidP="008C7D4E">
      <w:pPr>
        <w:pStyle w:val="PageHeading"/>
        <w:rPr>
          <w:rFonts w:ascii="Times New Roman" w:hAnsi="Times New Roman" w:cs="Times New Roman"/>
          <w:noProof/>
        </w:rPr>
      </w:pPr>
      <w:r w:rsidRPr="0002088D">
        <w:rPr>
          <w:rFonts w:ascii="Times New Roman" w:hAnsi="Times New Roman" w:cs="Times New Roman"/>
        </w:rPr>
        <w:t>ROZHODNUTÍ EVROPSKÉHO PARLAMENTU A RADY</w:t>
      </w:r>
      <w:bookmarkEnd w:id="7"/>
    </w:p>
    <w:p w14:paraId="0EB93366" w14:textId="77777777" w:rsidR="008C7D4E" w:rsidRDefault="008C7D4E" w:rsidP="006E4499">
      <w:pPr>
        <w:pStyle w:val="NormalHanging12a"/>
        <w:ind w:left="0" w:firstLine="0"/>
        <w:jc w:val="center"/>
        <w:rPr>
          <w:b/>
        </w:rPr>
      </w:pPr>
      <w:bookmarkStart w:id="8" w:name="_Hlk212804276"/>
      <w:bookmarkStart w:id="9" w:name="_Hlk212804598"/>
      <w:r w:rsidRPr="003F0804">
        <w:rPr>
          <w:b/>
        </w:rPr>
        <w:t>o uvolnění prostředků z Evropského fondu pro přizpůsobení se globalizaci na pomoc propuštěným pracovníkům na základě žádosti Rakouska – EGF/2025/005 AT/KTM</w:t>
      </w:r>
    </w:p>
    <w:p w14:paraId="3E1D0D2F" w14:textId="4981594C" w:rsidR="0002088D" w:rsidRPr="0002088D" w:rsidRDefault="0002088D" w:rsidP="0002088D">
      <w:pPr>
        <w:spacing w:before="480"/>
        <w:rPr>
          <w:i/>
          <w:lang w:eastAsia="de-DE"/>
        </w:rPr>
      </w:pPr>
      <w:r w:rsidRPr="00A6138D">
        <w:rPr>
          <w:i/>
          <w:lang w:eastAsia="de-DE"/>
        </w:rPr>
        <w:t xml:space="preserve">(Znění této přílohy se zde neuvádí, jelikož odpovídá znění konečného aktu, rozhodnutí </w:t>
      </w:r>
      <w:r>
        <w:rPr>
          <w:i/>
          <w:lang w:eastAsia="de-DE"/>
        </w:rPr>
        <w:t>(EU) 2026/</w:t>
      </w:r>
      <w:r>
        <w:rPr>
          <w:i/>
          <w:lang w:eastAsia="de-DE"/>
        </w:rPr>
        <w:t>850</w:t>
      </w:r>
      <w:r w:rsidRPr="00A6138D">
        <w:rPr>
          <w:i/>
          <w:lang w:eastAsia="de-DE"/>
        </w:rPr>
        <w:t>.)</w:t>
      </w:r>
    </w:p>
    <w:bookmarkEnd w:id="8"/>
    <w:bookmarkEnd w:id="9"/>
    <w:sectPr w:rsidR="0002088D" w:rsidRPr="0002088D" w:rsidSect="007E1F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90563" w14:textId="77777777" w:rsidR="002373BF" w:rsidRPr="007E1F32" w:rsidRDefault="002373BF">
      <w:r w:rsidRPr="007E1F32">
        <w:separator/>
      </w:r>
    </w:p>
  </w:endnote>
  <w:endnote w:type="continuationSeparator" w:id="0">
    <w:p w14:paraId="2919A394" w14:textId="77777777" w:rsidR="002373BF" w:rsidRPr="007E1F32" w:rsidRDefault="002373BF">
      <w:r w:rsidRPr="007E1F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7EE0" w14:textId="77777777" w:rsidR="008C7D4E" w:rsidRPr="007E1F32" w:rsidRDefault="008C7D4E" w:rsidP="00BE21F2">
    <w:pPr>
      <w:pStyle w:val="EPFooter"/>
    </w:pPr>
    <w:r w:rsidRPr="007E1F32">
      <w:t>PE</w:t>
    </w:r>
    <w:r w:rsidRPr="007E1F32">
      <w:rPr>
        <w:rStyle w:val="HideTWBExt"/>
      </w:rPr>
      <w:t>&lt;</w:t>
    </w:r>
    <w:proofErr w:type="spellStart"/>
    <w:r w:rsidRPr="007E1F32">
      <w:rPr>
        <w:rStyle w:val="HideTWBExt"/>
      </w:rPr>
      <w:t>NoPE</w:t>
    </w:r>
    <w:proofErr w:type="spellEnd"/>
    <w:r w:rsidRPr="007E1F32">
      <w:rPr>
        <w:rStyle w:val="HideTWBExt"/>
      </w:rPr>
      <w:t>&gt;</w:t>
    </w:r>
    <w:r w:rsidRPr="007E1F32">
      <w:t>784.472</w:t>
    </w:r>
    <w:r w:rsidRPr="007E1F32">
      <w:rPr>
        <w:rStyle w:val="HideTWBExt"/>
      </w:rPr>
      <w:t>&lt;/</w:t>
    </w:r>
    <w:proofErr w:type="spellStart"/>
    <w:r w:rsidRPr="007E1F32">
      <w:rPr>
        <w:rStyle w:val="HideTWBExt"/>
      </w:rPr>
      <w:t>NoPE</w:t>
    </w:r>
    <w:proofErr w:type="spellEnd"/>
    <w:r w:rsidRPr="007E1F32">
      <w:rPr>
        <w:rStyle w:val="HideTWBExt"/>
      </w:rPr>
      <w:t>&gt;&lt;Version&gt;</w:t>
    </w:r>
    <w:r w:rsidRPr="007E1F32">
      <w:t>v02-00</w:t>
    </w:r>
    <w:r w:rsidRPr="007E1F32">
      <w:rPr>
        <w:rStyle w:val="HideTWBExt"/>
      </w:rPr>
      <w:t>&lt;/</w:t>
    </w:r>
    <w:proofErr w:type="spellStart"/>
    <w:r w:rsidRPr="007E1F32">
      <w:rPr>
        <w:rStyle w:val="HideTWBExt"/>
      </w:rPr>
      <w:t>Version</w:t>
    </w:r>
    <w:proofErr w:type="spellEnd"/>
    <w:r w:rsidRPr="007E1F32">
      <w:rPr>
        <w:rStyle w:val="HideTWBExt"/>
      </w:rPr>
      <w:t>&gt;</w:t>
    </w:r>
    <w:r w:rsidRPr="007E1F32">
      <w:tab/>
    </w:r>
    <w:r w:rsidRPr="007E1F32">
      <w:fldChar w:fldCharType="begin"/>
    </w:r>
    <w:r w:rsidRPr="007E1F32">
      <w:instrText xml:space="preserve"> PAGE  \* MERGEFORMAT </w:instrText>
    </w:r>
    <w:r w:rsidRPr="007E1F32">
      <w:fldChar w:fldCharType="separate"/>
    </w:r>
    <w:r w:rsidRPr="007E1F32">
      <w:rPr>
        <w:noProof/>
      </w:rPr>
      <w:t>1</w:t>
    </w:r>
    <w:r w:rsidRPr="007E1F32">
      <w:fldChar w:fldCharType="end"/>
    </w:r>
    <w:r w:rsidRPr="007E1F32">
      <w:t>/</w:t>
    </w:r>
    <w:fldSimple w:instr=" NUMPAGES  \* MERGEFORMAT ">
      <w:r w:rsidRPr="007E1F32">
        <w:rPr>
          <w:noProof/>
        </w:rPr>
        <w:t>2</w:t>
      </w:r>
    </w:fldSimple>
    <w:r w:rsidRPr="007E1F32">
      <w:tab/>
    </w:r>
    <w:r w:rsidRPr="007E1F32">
      <w:rPr>
        <w:rStyle w:val="HideTWBExt"/>
      </w:rPr>
      <w:t>&lt;PathFdR&gt;</w:t>
    </w:r>
    <w:r w:rsidRPr="007E1F32">
      <w:t>RR\1339711CS.docx</w:t>
    </w:r>
    <w:r w:rsidRPr="007E1F32">
      <w:rPr>
        <w:rStyle w:val="HideTWBExt"/>
      </w:rPr>
      <w:t>&lt;/</w:t>
    </w:r>
    <w:proofErr w:type="spellStart"/>
    <w:r w:rsidRPr="007E1F32">
      <w:rPr>
        <w:rStyle w:val="HideTWBExt"/>
      </w:rPr>
      <w:t>PathFdR</w:t>
    </w:r>
    <w:proofErr w:type="spellEnd"/>
    <w:r w:rsidRPr="007E1F32">
      <w:rPr>
        <w:rStyle w:val="HideTWBExt"/>
      </w:rPr>
      <w:t>&gt;</w:t>
    </w:r>
  </w:p>
  <w:p w14:paraId="7015637D" w14:textId="77777777" w:rsidR="008C7D4E" w:rsidRPr="007E1F32" w:rsidRDefault="008C7D4E" w:rsidP="00BE21F2">
    <w:pPr>
      <w:pStyle w:val="EPFooter2"/>
    </w:pPr>
    <w:r w:rsidRPr="007E1F32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409E9" w14:textId="77777777" w:rsidR="008C7D4E" w:rsidRPr="007E1F32" w:rsidRDefault="008C7D4E" w:rsidP="00BE21F2">
    <w:pPr>
      <w:pStyle w:val="EPFooter"/>
    </w:pPr>
    <w:r w:rsidRPr="007E1F32">
      <w:rPr>
        <w:rStyle w:val="HideTWBExt"/>
      </w:rPr>
      <w:t>&lt;PathFdR&gt;</w:t>
    </w:r>
    <w:r w:rsidRPr="007E1F32">
      <w:t>RR\1339711CS.docx</w:t>
    </w:r>
    <w:r w:rsidRPr="007E1F32">
      <w:rPr>
        <w:rStyle w:val="HideTWBExt"/>
      </w:rPr>
      <w:t>&lt;/</w:t>
    </w:r>
    <w:proofErr w:type="spellStart"/>
    <w:r w:rsidRPr="007E1F32">
      <w:rPr>
        <w:rStyle w:val="HideTWBExt"/>
      </w:rPr>
      <w:t>PathFdR</w:t>
    </w:r>
    <w:proofErr w:type="spellEnd"/>
    <w:r w:rsidRPr="007E1F32">
      <w:rPr>
        <w:rStyle w:val="HideTWBExt"/>
      </w:rPr>
      <w:t>&gt;</w:t>
    </w:r>
    <w:r w:rsidRPr="007E1F32">
      <w:tab/>
    </w:r>
    <w:r w:rsidRPr="007E1F32">
      <w:tab/>
      <w:t>PE</w:t>
    </w:r>
    <w:r w:rsidRPr="007E1F32">
      <w:rPr>
        <w:rStyle w:val="HideTWBExt"/>
      </w:rPr>
      <w:t>&lt;</w:t>
    </w:r>
    <w:proofErr w:type="spellStart"/>
    <w:r w:rsidRPr="007E1F32">
      <w:rPr>
        <w:rStyle w:val="HideTWBExt"/>
      </w:rPr>
      <w:t>NoPE</w:t>
    </w:r>
    <w:proofErr w:type="spellEnd"/>
    <w:r w:rsidRPr="007E1F32">
      <w:rPr>
        <w:rStyle w:val="HideTWBExt"/>
      </w:rPr>
      <w:t>&gt;</w:t>
    </w:r>
    <w:r w:rsidRPr="007E1F32">
      <w:t>784.472</w:t>
    </w:r>
    <w:r w:rsidRPr="007E1F32">
      <w:rPr>
        <w:rStyle w:val="HideTWBExt"/>
      </w:rPr>
      <w:t>&lt;/</w:t>
    </w:r>
    <w:proofErr w:type="spellStart"/>
    <w:r w:rsidRPr="007E1F32">
      <w:rPr>
        <w:rStyle w:val="HideTWBExt"/>
      </w:rPr>
      <w:t>NoPE</w:t>
    </w:r>
    <w:proofErr w:type="spellEnd"/>
    <w:r w:rsidRPr="007E1F32">
      <w:rPr>
        <w:rStyle w:val="HideTWBExt"/>
      </w:rPr>
      <w:t>&gt;&lt;Version&gt;</w:t>
    </w:r>
    <w:r w:rsidRPr="007E1F32">
      <w:t>v02-00</w:t>
    </w:r>
    <w:r w:rsidRPr="007E1F32">
      <w:rPr>
        <w:rStyle w:val="HideTWBExt"/>
      </w:rPr>
      <w:t>&lt;/</w:t>
    </w:r>
    <w:proofErr w:type="spellStart"/>
    <w:r w:rsidRPr="007E1F32">
      <w:rPr>
        <w:rStyle w:val="HideTWBExt"/>
      </w:rPr>
      <w:t>Version</w:t>
    </w:r>
    <w:proofErr w:type="spellEnd"/>
    <w:r w:rsidRPr="007E1F32">
      <w:rPr>
        <w:rStyle w:val="HideTWBExt"/>
      </w:rPr>
      <w:t>&gt;</w:t>
    </w:r>
  </w:p>
  <w:p w14:paraId="471CCF57" w14:textId="77777777" w:rsidR="008C7D4E" w:rsidRPr="007E1F32" w:rsidRDefault="008C7D4E" w:rsidP="00BE21F2">
    <w:pPr>
      <w:pStyle w:val="EPFooter2"/>
    </w:pPr>
    <w:r w:rsidRPr="007E1F32">
      <w:t>CS</w:t>
    </w:r>
    <w:r w:rsidRPr="007E1F32">
      <w:tab/>
    </w:r>
    <w:r w:rsidRPr="007E1F32">
      <w:rPr>
        <w:b w:val="0"/>
        <w:i/>
        <w:color w:val="C0C0C0"/>
        <w:sz w:val="22"/>
      </w:rPr>
      <w:t>Jednotná v rozmanitosti</w:t>
    </w:r>
    <w:r w:rsidRPr="007E1F32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04682" w14:textId="77777777" w:rsidR="00064002" w:rsidRPr="007E1F3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E402D" w14:textId="77777777" w:rsidR="00064002" w:rsidRPr="007E1F3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54295" w14:textId="77777777" w:rsidR="00064002" w:rsidRPr="007E1F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CE224" w14:textId="77777777" w:rsidR="002373BF" w:rsidRPr="007E1F32" w:rsidRDefault="002373BF">
      <w:r w:rsidRPr="007E1F32">
        <w:separator/>
      </w:r>
    </w:p>
  </w:footnote>
  <w:footnote w:type="continuationSeparator" w:id="0">
    <w:p w14:paraId="1B9687C5" w14:textId="77777777" w:rsidR="002373BF" w:rsidRPr="007E1F32" w:rsidRDefault="002373BF">
      <w:r w:rsidRPr="007E1F32">
        <w:continuationSeparator/>
      </w:r>
    </w:p>
  </w:footnote>
  <w:footnote w:id="1">
    <w:p w14:paraId="5152A0DB" w14:textId="6D8E882B" w:rsidR="008C7D4E" w:rsidRPr="007E1F32" w:rsidRDefault="008C7D4E" w:rsidP="007E1F32">
      <w:pPr>
        <w:pStyle w:val="FootnoteText"/>
        <w:ind w:left="567" w:hanging="567"/>
        <w:rPr>
          <w:sz w:val="24"/>
          <w:lang w:val="cs-CZ"/>
        </w:rPr>
      </w:pPr>
      <w:r w:rsidRPr="007E1F32">
        <w:rPr>
          <w:rStyle w:val="FootnoteReference"/>
          <w:sz w:val="24"/>
          <w:lang w:val="cs-CZ"/>
        </w:rPr>
        <w:footnoteRef/>
      </w:r>
      <w:r w:rsidR="007E1F32" w:rsidRPr="007E1F32">
        <w:rPr>
          <w:sz w:val="24"/>
          <w:lang w:val="cs-CZ"/>
        </w:rPr>
        <w:t xml:space="preserve"> </w:t>
      </w:r>
      <w:r w:rsidR="007E1F32" w:rsidRPr="007E1F32">
        <w:rPr>
          <w:sz w:val="24"/>
          <w:lang w:val="cs-CZ"/>
        </w:rPr>
        <w:tab/>
      </w:r>
      <w:proofErr w:type="spellStart"/>
      <w:r w:rsidRPr="007E1F32">
        <w:rPr>
          <w:sz w:val="24"/>
          <w:lang w:val="cs-CZ"/>
        </w:rPr>
        <w:t>Úř</w:t>
      </w:r>
      <w:proofErr w:type="spellEnd"/>
      <w:r w:rsidRPr="007E1F32">
        <w:rPr>
          <w:sz w:val="24"/>
          <w:lang w:val="cs-CZ"/>
        </w:rPr>
        <w:t xml:space="preserve">. </w:t>
      </w:r>
      <w:proofErr w:type="spellStart"/>
      <w:r w:rsidRPr="007E1F32">
        <w:rPr>
          <w:sz w:val="24"/>
          <w:lang w:val="cs-CZ"/>
        </w:rPr>
        <w:t>věst</w:t>
      </w:r>
      <w:proofErr w:type="spellEnd"/>
      <w:r w:rsidRPr="007E1F32">
        <w:rPr>
          <w:sz w:val="24"/>
          <w:lang w:val="cs-CZ"/>
        </w:rPr>
        <w:t xml:space="preserve">. L 153, 3.5.2021, s. 48, ELI: </w:t>
      </w:r>
      <w:r>
        <w:fldChar w:fldCharType="begin"/>
      </w:r>
      <w:r w:rsidRPr="0002088D">
        <w:rPr>
          <w:lang w:val="fi-FI"/>
        </w:rPr>
        <w:instrText>HYPERLINK "http://data.europa.eu/eli/reg/2021/691/oj"</w:instrText>
      </w:r>
      <w:r>
        <w:fldChar w:fldCharType="separate"/>
      </w:r>
      <w:r w:rsidRPr="007E1F32">
        <w:rPr>
          <w:rStyle w:val="Hyperlink"/>
          <w:sz w:val="24"/>
          <w:lang w:val="cs-CZ"/>
        </w:rPr>
        <w:t>http://data.europa.eu/eli/reg/2021/691/oj</w:t>
      </w:r>
      <w:r>
        <w:fldChar w:fldCharType="end"/>
      </w:r>
      <w:r w:rsidRPr="007E1F32">
        <w:rPr>
          <w:sz w:val="24"/>
          <w:lang w:val="cs-CZ"/>
        </w:rPr>
        <w:t>.</w:t>
      </w:r>
    </w:p>
  </w:footnote>
  <w:footnote w:id="2">
    <w:p w14:paraId="69F1D117" w14:textId="07D82D7E" w:rsidR="008C7D4E" w:rsidRPr="007E1F32" w:rsidRDefault="008C7D4E" w:rsidP="007E1F32">
      <w:pPr>
        <w:pStyle w:val="FootnoteText"/>
        <w:ind w:left="567" w:hanging="567"/>
        <w:rPr>
          <w:sz w:val="24"/>
          <w:lang w:val="cs-CZ"/>
        </w:rPr>
      </w:pPr>
      <w:r w:rsidRPr="007E1F32">
        <w:rPr>
          <w:rStyle w:val="FootnoteReference"/>
          <w:sz w:val="24"/>
          <w:lang w:val="cs-CZ"/>
        </w:rPr>
        <w:footnoteRef/>
      </w:r>
      <w:r w:rsidR="007E1F32" w:rsidRPr="007E1F32">
        <w:rPr>
          <w:sz w:val="24"/>
          <w:lang w:val="cs-CZ"/>
        </w:rPr>
        <w:t xml:space="preserve"> </w:t>
      </w:r>
      <w:r w:rsidR="007E1F32" w:rsidRPr="007E1F32">
        <w:rPr>
          <w:sz w:val="24"/>
          <w:lang w:val="cs-CZ"/>
        </w:rPr>
        <w:tab/>
      </w:r>
      <w:proofErr w:type="spellStart"/>
      <w:r w:rsidRPr="007E1F32">
        <w:rPr>
          <w:sz w:val="24"/>
          <w:lang w:val="cs-CZ"/>
        </w:rPr>
        <w:t>Úř</w:t>
      </w:r>
      <w:proofErr w:type="spellEnd"/>
      <w:r w:rsidRPr="007E1F32">
        <w:rPr>
          <w:sz w:val="24"/>
          <w:lang w:val="cs-CZ"/>
        </w:rPr>
        <w:t xml:space="preserve">. </w:t>
      </w:r>
      <w:proofErr w:type="spellStart"/>
      <w:r w:rsidRPr="007E1F32">
        <w:rPr>
          <w:sz w:val="24"/>
          <w:lang w:val="cs-CZ"/>
        </w:rPr>
        <w:t>věst</w:t>
      </w:r>
      <w:proofErr w:type="spellEnd"/>
      <w:r w:rsidRPr="007E1F32">
        <w:rPr>
          <w:sz w:val="24"/>
          <w:lang w:val="cs-CZ"/>
        </w:rPr>
        <w:t xml:space="preserve">. L 433 I, 22.12.2020, s. 11, ELI: </w:t>
      </w:r>
      <w:r>
        <w:fldChar w:fldCharType="begin"/>
      </w:r>
      <w:r w:rsidRPr="0002088D">
        <w:rPr>
          <w:lang w:val="cs-CZ"/>
        </w:rPr>
        <w:instrText>HYPERLINK "http://data.europa.eu/eli/reg/2020/2093/oj"</w:instrText>
      </w:r>
      <w:r>
        <w:fldChar w:fldCharType="separate"/>
      </w:r>
      <w:r w:rsidRPr="007E1F32">
        <w:rPr>
          <w:rStyle w:val="Hyperlink"/>
          <w:sz w:val="24"/>
          <w:lang w:val="cs-CZ"/>
        </w:rPr>
        <w:t>http://data.europa.eu/eli/reg/2020/2093/oj</w:t>
      </w:r>
      <w:r>
        <w:fldChar w:fldCharType="end"/>
      </w:r>
      <w:r w:rsidRPr="007E1F32">
        <w:rPr>
          <w:sz w:val="24"/>
          <w:lang w:val="cs-CZ"/>
        </w:rPr>
        <w:t>.</w:t>
      </w:r>
    </w:p>
  </w:footnote>
  <w:footnote w:id="3">
    <w:p w14:paraId="7CEF4FE5" w14:textId="7D569FC0" w:rsidR="008C7D4E" w:rsidRPr="007E1F32" w:rsidRDefault="008C7D4E" w:rsidP="007E1F32">
      <w:pPr>
        <w:pStyle w:val="FootnoteText"/>
        <w:ind w:left="567" w:hanging="567"/>
        <w:rPr>
          <w:sz w:val="24"/>
          <w:lang w:val="cs-CZ"/>
        </w:rPr>
      </w:pPr>
      <w:r w:rsidRPr="007E1F32">
        <w:rPr>
          <w:rStyle w:val="FootnoteReference"/>
          <w:sz w:val="24"/>
          <w:lang w:val="cs-CZ"/>
        </w:rPr>
        <w:footnoteRef/>
      </w:r>
      <w:r w:rsidR="007E1F32" w:rsidRPr="007E1F32">
        <w:rPr>
          <w:sz w:val="24"/>
          <w:shd w:val="clear" w:color="auto" w:fill="FFFFFF"/>
          <w:lang w:val="cs-CZ"/>
        </w:rPr>
        <w:t xml:space="preserve"> </w:t>
      </w:r>
      <w:r w:rsidR="007E1F32" w:rsidRPr="007E1F32">
        <w:rPr>
          <w:sz w:val="24"/>
          <w:shd w:val="clear" w:color="auto" w:fill="FFFFFF"/>
          <w:lang w:val="cs-CZ"/>
        </w:rPr>
        <w:tab/>
      </w:r>
      <w:r w:rsidRPr="007E1F32">
        <w:rPr>
          <w:sz w:val="24"/>
          <w:shd w:val="clear" w:color="auto" w:fill="FFFFFF"/>
          <w:lang w:val="cs-CZ"/>
        </w:rPr>
        <w:t>Nařízení Rady (EU, Euratom) 2024/765 ze dne 29. února 2024, kterým se mění nařízení (EU, Euratom) 2020/2093, kterým se stanoví víceletý finanční rámec na období 2021–2027 (</w:t>
      </w:r>
      <w:proofErr w:type="spellStart"/>
      <w:r w:rsidRPr="007E1F32">
        <w:rPr>
          <w:sz w:val="24"/>
          <w:shd w:val="clear" w:color="auto" w:fill="FFFFFF"/>
          <w:lang w:val="cs-CZ"/>
        </w:rPr>
        <w:t>Úř</w:t>
      </w:r>
      <w:proofErr w:type="spellEnd"/>
      <w:r w:rsidRPr="007E1F32">
        <w:rPr>
          <w:sz w:val="24"/>
          <w:shd w:val="clear" w:color="auto" w:fill="FFFFFF"/>
          <w:lang w:val="cs-CZ"/>
        </w:rPr>
        <w:t xml:space="preserve">. </w:t>
      </w:r>
      <w:proofErr w:type="spellStart"/>
      <w:r w:rsidRPr="007E1F32">
        <w:rPr>
          <w:sz w:val="24"/>
          <w:shd w:val="clear" w:color="auto" w:fill="FFFFFF"/>
          <w:lang w:val="cs-CZ"/>
        </w:rPr>
        <w:t>věst</w:t>
      </w:r>
      <w:proofErr w:type="spellEnd"/>
      <w:r w:rsidRPr="007E1F32">
        <w:rPr>
          <w:sz w:val="24"/>
          <w:shd w:val="clear" w:color="auto" w:fill="FFFFFF"/>
          <w:lang w:val="cs-CZ"/>
        </w:rPr>
        <w:t xml:space="preserve">. L, 2024/765, 29.2.2024, ELI: </w:t>
      </w:r>
      <w:r>
        <w:fldChar w:fldCharType="begin"/>
      </w:r>
      <w:r w:rsidRPr="0002088D">
        <w:rPr>
          <w:lang w:val="fi-FI"/>
        </w:rPr>
        <w:instrText>HYPERLINK "http://data.europa.eu/eli/reg/2024/765/oj"</w:instrText>
      </w:r>
      <w:r>
        <w:fldChar w:fldCharType="separate"/>
      </w:r>
      <w:r w:rsidRPr="007E1F32">
        <w:rPr>
          <w:rStyle w:val="Hyperlink"/>
          <w:sz w:val="24"/>
          <w:shd w:val="clear" w:color="auto" w:fill="FFFFFF"/>
          <w:lang w:val="cs-CZ"/>
        </w:rPr>
        <w:t>http://data.europa.eu/eli/reg/2024/765/oj</w:t>
      </w:r>
      <w:r>
        <w:fldChar w:fldCharType="end"/>
      </w:r>
      <w:r w:rsidRPr="007E1F32">
        <w:rPr>
          <w:sz w:val="24"/>
          <w:shd w:val="clear" w:color="auto" w:fill="FFFFFF"/>
          <w:lang w:val="cs-CZ"/>
        </w:rPr>
        <w:t>)</w:t>
      </w:r>
      <w:r w:rsidRPr="007E1F32">
        <w:rPr>
          <w:i/>
          <w:sz w:val="24"/>
          <w:shd w:val="clear" w:color="auto" w:fill="FFFFFF"/>
          <w:lang w:val="cs-CZ"/>
        </w:rPr>
        <w:t>.</w:t>
      </w:r>
    </w:p>
  </w:footnote>
  <w:footnote w:id="4">
    <w:p w14:paraId="03D8FDA7" w14:textId="2A9463DE" w:rsidR="008C7D4E" w:rsidRPr="007E1F32" w:rsidRDefault="008C7D4E" w:rsidP="007E1F32">
      <w:pPr>
        <w:pStyle w:val="FootnoteText"/>
        <w:ind w:left="567" w:hanging="567"/>
        <w:rPr>
          <w:sz w:val="24"/>
          <w:lang w:val="cs-CZ"/>
        </w:rPr>
      </w:pPr>
      <w:r w:rsidRPr="007E1F32">
        <w:rPr>
          <w:rStyle w:val="FootnoteReference"/>
          <w:sz w:val="24"/>
          <w:lang w:val="cs-CZ"/>
        </w:rPr>
        <w:footnoteRef/>
      </w:r>
      <w:r w:rsidR="007E1F32" w:rsidRPr="007E1F32">
        <w:rPr>
          <w:sz w:val="24"/>
          <w:lang w:val="cs-CZ"/>
        </w:rPr>
        <w:t xml:space="preserve"> </w:t>
      </w:r>
      <w:r w:rsidR="007E1F32" w:rsidRPr="007E1F32">
        <w:rPr>
          <w:sz w:val="24"/>
          <w:lang w:val="cs-CZ"/>
        </w:rPr>
        <w:tab/>
      </w:r>
      <w:proofErr w:type="spellStart"/>
      <w:r w:rsidRPr="007E1F32">
        <w:rPr>
          <w:sz w:val="24"/>
          <w:lang w:val="cs-CZ"/>
        </w:rPr>
        <w:t>Úř</w:t>
      </w:r>
      <w:proofErr w:type="spellEnd"/>
      <w:r w:rsidRPr="007E1F32">
        <w:rPr>
          <w:sz w:val="24"/>
          <w:lang w:val="cs-CZ"/>
        </w:rPr>
        <w:t xml:space="preserve">. </w:t>
      </w:r>
      <w:proofErr w:type="spellStart"/>
      <w:r w:rsidRPr="007E1F32">
        <w:rPr>
          <w:sz w:val="24"/>
          <w:lang w:val="cs-CZ"/>
        </w:rPr>
        <w:t>věst</w:t>
      </w:r>
      <w:proofErr w:type="spellEnd"/>
      <w:r w:rsidRPr="007E1F32">
        <w:rPr>
          <w:sz w:val="24"/>
          <w:lang w:val="cs-CZ"/>
        </w:rPr>
        <w:t xml:space="preserve">. L 433 I, 22.12.2020, s. 28, ELI: </w:t>
      </w:r>
      <w:r>
        <w:fldChar w:fldCharType="begin"/>
      </w:r>
      <w:r w:rsidRPr="0002088D">
        <w:rPr>
          <w:lang w:val="fi-FI"/>
        </w:rPr>
        <w:instrText>HYPERLINK "http://data.europa.eu/eli/agree_interinstit/2020/1222/oj"</w:instrText>
      </w:r>
      <w:r>
        <w:fldChar w:fldCharType="separate"/>
      </w:r>
      <w:r w:rsidRPr="007E1F32">
        <w:rPr>
          <w:rStyle w:val="Hyperlink"/>
          <w:sz w:val="24"/>
          <w:lang w:val="cs-CZ"/>
        </w:rPr>
        <w:t>http://data.europa.eu/eli/agree_interinstit/2020/1222/oj</w:t>
      </w:r>
      <w:r>
        <w:fldChar w:fldCharType="end"/>
      </w:r>
      <w:r w:rsidRPr="007E1F32">
        <w:rPr>
          <w:sz w:val="24"/>
          <w:lang w:val="cs-CZ"/>
        </w:rPr>
        <w:t>.</w:t>
      </w:r>
    </w:p>
  </w:footnote>
  <w:footnote w:id="5">
    <w:p w14:paraId="3687B414" w14:textId="2B35365C" w:rsidR="008C7D4E" w:rsidRPr="007E1F32" w:rsidRDefault="008C7D4E" w:rsidP="007E1F32">
      <w:pPr>
        <w:pStyle w:val="FootnoteText"/>
        <w:ind w:left="567" w:hanging="567"/>
        <w:rPr>
          <w:sz w:val="24"/>
          <w:lang w:val="cs-CZ"/>
        </w:rPr>
      </w:pPr>
      <w:r w:rsidRPr="007E1F32">
        <w:rPr>
          <w:rStyle w:val="FootnoteReference"/>
          <w:sz w:val="24"/>
          <w:lang w:val="cs-CZ"/>
        </w:rPr>
        <w:footnoteRef/>
      </w:r>
      <w:r w:rsidR="007E1F32" w:rsidRPr="007E1F32">
        <w:rPr>
          <w:sz w:val="24"/>
          <w:lang w:val="cs-CZ"/>
        </w:rPr>
        <w:t xml:space="preserve"> </w:t>
      </w:r>
      <w:r w:rsidR="007E1F32" w:rsidRPr="007E1F32">
        <w:rPr>
          <w:sz w:val="24"/>
          <w:lang w:val="cs-CZ"/>
        </w:rPr>
        <w:tab/>
      </w:r>
      <w:r w:rsidRPr="007E1F32">
        <w:rPr>
          <w:sz w:val="24"/>
          <w:lang w:val="cs-CZ"/>
        </w:rPr>
        <w:t>Ve smyslu článku 3 nařízení o EFG.</w:t>
      </w:r>
    </w:p>
  </w:footnote>
  <w:footnote w:id="6">
    <w:p w14:paraId="0F1436E4" w14:textId="66D24210" w:rsidR="008C7D4E" w:rsidRPr="007E1F32" w:rsidRDefault="008C7D4E" w:rsidP="007E1F32">
      <w:pPr>
        <w:pStyle w:val="FootnoteText"/>
        <w:ind w:left="567" w:hanging="567"/>
        <w:rPr>
          <w:sz w:val="24"/>
          <w:lang w:val="cs-CZ"/>
        </w:rPr>
      </w:pPr>
      <w:r w:rsidRPr="007E1F32">
        <w:rPr>
          <w:rStyle w:val="FootnoteReference"/>
          <w:sz w:val="24"/>
          <w:lang w:val="cs-CZ"/>
        </w:rPr>
        <w:footnoteRef/>
      </w:r>
      <w:r w:rsidR="007E1F32" w:rsidRPr="007E1F32">
        <w:rPr>
          <w:sz w:val="24"/>
          <w:lang w:val="cs-CZ"/>
        </w:rPr>
        <w:t xml:space="preserve"> </w:t>
      </w:r>
      <w:r w:rsidR="007E1F32" w:rsidRPr="007E1F32">
        <w:rPr>
          <w:sz w:val="24"/>
          <w:lang w:val="cs-CZ"/>
        </w:rPr>
        <w:tab/>
      </w:r>
      <w:r w:rsidRPr="007E1F32">
        <w:rPr>
          <w:sz w:val="24"/>
          <w:lang w:val="cs-CZ"/>
        </w:rPr>
        <w:t>Článek 8 nařízení o VFR.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A03E6" w14:textId="77777777" w:rsidR="00064002" w:rsidRPr="007E1F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09E70" w14:textId="77777777" w:rsidR="00064002" w:rsidRPr="007E1F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3EE1" w14:textId="77777777" w:rsidR="00064002" w:rsidRPr="007E1F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5074009">
    <w:abstractNumId w:val="9"/>
  </w:num>
  <w:num w:numId="2" w16cid:durableId="1777287143">
    <w:abstractNumId w:val="9"/>
  </w:num>
  <w:num w:numId="3" w16cid:durableId="215708058">
    <w:abstractNumId w:val="7"/>
  </w:num>
  <w:num w:numId="4" w16cid:durableId="212156190">
    <w:abstractNumId w:val="7"/>
  </w:num>
  <w:num w:numId="5" w16cid:durableId="1354308608">
    <w:abstractNumId w:val="6"/>
  </w:num>
  <w:num w:numId="6" w16cid:durableId="1481924848">
    <w:abstractNumId w:val="6"/>
  </w:num>
  <w:num w:numId="7" w16cid:durableId="321661664">
    <w:abstractNumId w:val="5"/>
  </w:num>
  <w:num w:numId="8" w16cid:durableId="443381884">
    <w:abstractNumId w:val="5"/>
  </w:num>
  <w:num w:numId="9" w16cid:durableId="2012482235">
    <w:abstractNumId w:val="4"/>
  </w:num>
  <w:num w:numId="10" w16cid:durableId="113910068">
    <w:abstractNumId w:val="4"/>
  </w:num>
  <w:num w:numId="11" w16cid:durableId="1464690200">
    <w:abstractNumId w:val="8"/>
  </w:num>
  <w:num w:numId="12" w16cid:durableId="2053650744">
    <w:abstractNumId w:val="8"/>
  </w:num>
  <w:num w:numId="13" w16cid:durableId="1251306871">
    <w:abstractNumId w:val="3"/>
  </w:num>
  <w:num w:numId="14" w16cid:durableId="1500972449">
    <w:abstractNumId w:val="3"/>
  </w:num>
  <w:num w:numId="15" w16cid:durableId="621621105">
    <w:abstractNumId w:val="2"/>
  </w:num>
  <w:num w:numId="16" w16cid:durableId="669673704">
    <w:abstractNumId w:val="2"/>
  </w:num>
  <w:num w:numId="17" w16cid:durableId="1848131113">
    <w:abstractNumId w:val="1"/>
  </w:num>
  <w:num w:numId="18" w16cid:durableId="883298042">
    <w:abstractNumId w:val="1"/>
  </w:num>
  <w:num w:numId="19" w16cid:durableId="2144150476">
    <w:abstractNumId w:val="0"/>
  </w:num>
  <w:num w:numId="20" w16cid:durableId="2075003719">
    <w:abstractNumId w:val="0"/>
  </w:num>
  <w:num w:numId="21" w16cid:durableId="115829945">
    <w:abstractNumId w:val="9"/>
  </w:num>
  <w:num w:numId="22" w16cid:durableId="14893040">
    <w:abstractNumId w:val="7"/>
  </w:num>
  <w:num w:numId="23" w16cid:durableId="205022708">
    <w:abstractNumId w:val="6"/>
  </w:num>
  <w:num w:numId="24" w16cid:durableId="2088260812">
    <w:abstractNumId w:val="5"/>
  </w:num>
  <w:num w:numId="25" w16cid:durableId="2047293653">
    <w:abstractNumId w:val="4"/>
  </w:num>
  <w:num w:numId="26" w16cid:durableId="1483502333">
    <w:abstractNumId w:val="8"/>
  </w:num>
  <w:num w:numId="27" w16cid:durableId="1180969443">
    <w:abstractNumId w:val="3"/>
  </w:num>
  <w:num w:numId="28" w16cid:durableId="1975981754">
    <w:abstractNumId w:val="2"/>
  </w:num>
  <w:num w:numId="29" w16cid:durableId="1773623516">
    <w:abstractNumId w:val="1"/>
  </w:num>
  <w:num w:numId="30" w16cid:durableId="668093281">
    <w:abstractNumId w:val="0"/>
  </w:num>
  <w:num w:numId="31" w16cid:durableId="199560846">
    <w:abstractNumId w:val="9"/>
  </w:num>
  <w:num w:numId="32" w16cid:durableId="1661808005">
    <w:abstractNumId w:val="7"/>
  </w:num>
  <w:num w:numId="33" w16cid:durableId="59720598">
    <w:abstractNumId w:val="6"/>
  </w:num>
  <w:num w:numId="34" w16cid:durableId="1635521769">
    <w:abstractNumId w:val="5"/>
  </w:num>
  <w:num w:numId="35" w16cid:durableId="1122966538">
    <w:abstractNumId w:val="4"/>
  </w:num>
  <w:num w:numId="36" w16cid:durableId="1479108128">
    <w:abstractNumId w:val="8"/>
  </w:num>
  <w:num w:numId="37" w16cid:durableId="1210410932">
    <w:abstractNumId w:val="3"/>
  </w:num>
  <w:num w:numId="38" w16cid:durableId="435565529">
    <w:abstractNumId w:val="2"/>
  </w:num>
  <w:num w:numId="39" w16cid:durableId="1013335274">
    <w:abstractNumId w:val="1"/>
  </w:num>
  <w:num w:numId="40" w16cid:durableId="1856067697">
    <w:abstractNumId w:val="0"/>
  </w:num>
  <w:num w:numId="41" w16cid:durableId="310449946">
    <w:abstractNumId w:val="10"/>
  </w:num>
  <w:num w:numId="42" w16cid:durableId="1537741724">
    <w:abstractNumId w:val="10"/>
  </w:num>
  <w:num w:numId="43" w16cid:durableId="1489057521">
    <w:abstractNumId w:val="10"/>
  </w:num>
  <w:num w:numId="44" w16cid:durableId="10529211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0/2026"/>
    <w:docVar w:name="dvlangue" w:val="CS"/>
    <w:docVar w:name="dvnumam" w:val="0"/>
    <w:docVar w:name="dvpe" w:val="784.472"/>
    <w:docVar w:name="dvrapporteur" w:val="Zpravodaj: "/>
    <w:docVar w:name="dvtitre" w:val="Usnesení Evropského parlamentu ze dne 25. března 2026 o návrhu rozhodnutí Evropského parlamentu a Rady o uvolnění prostředků z Evropského fondu pro přizpůsobení se globalizaci na pomoc propuštěným pracovníkům na základě žádosti Rakouska – EGF/2025/005 AT/KTM(COM(2026)0010 – C10-0026/2026 – 2026/0037(BUD))"/>
  </w:docVars>
  <w:rsids>
    <w:rsidRoot w:val="002373BF"/>
    <w:rsid w:val="00002272"/>
    <w:rsid w:val="0002088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3BF"/>
    <w:rsid w:val="002767FF"/>
    <w:rsid w:val="002B18FE"/>
    <w:rsid w:val="002B5493"/>
    <w:rsid w:val="00343214"/>
    <w:rsid w:val="00361C00"/>
    <w:rsid w:val="00395FA1"/>
    <w:rsid w:val="003E15D4"/>
    <w:rsid w:val="003F0804"/>
    <w:rsid w:val="00411CCE"/>
    <w:rsid w:val="0041666E"/>
    <w:rsid w:val="00421060"/>
    <w:rsid w:val="00471C19"/>
    <w:rsid w:val="004867E3"/>
    <w:rsid w:val="00494A28"/>
    <w:rsid w:val="004C0004"/>
    <w:rsid w:val="004C5D52"/>
    <w:rsid w:val="004E59C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4499"/>
    <w:rsid w:val="006F74FA"/>
    <w:rsid w:val="00731ADD"/>
    <w:rsid w:val="00734777"/>
    <w:rsid w:val="00747932"/>
    <w:rsid w:val="00751A4A"/>
    <w:rsid w:val="00756632"/>
    <w:rsid w:val="00762C74"/>
    <w:rsid w:val="00786EC0"/>
    <w:rsid w:val="007A194A"/>
    <w:rsid w:val="007D1690"/>
    <w:rsid w:val="007E1F32"/>
    <w:rsid w:val="007E22AD"/>
    <w:rsid w:val="007F790E"/>
    <w:rsid w:val="00806EB6"/>
    <w:rsid w:val="00817416"/>
    <w:rsid w:val="00842779"/>
    <w:rsid w:val="00865F67"/>
    <w:rsid w:val="00881A7B"/>
    <w:rsid w:val="008840E5"/>
    <w:rsid w:val="00887B3E"/>
    <w:rsid w:val="0089791B"/>
    <w:rsid w:val="008A4345"/>
    <w:rsid w:val="008C2AC6"/>
    <w:rsid w:val="008C7D4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7F8"/>
    <w:rsid w:val="00A91FC9"/>
    <w:rsid w:val="00AB441E"/>
    <w:rsid w:val="00AB6293"/>
    <w:rsid w:val="00AE0928"/>
    <w:rsid w:val="00AF3B82"/>
    <w:rsid w:val="00B12E95"/>
    <w:rsid w:val="00B20A09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5C98"/>
    <w:rsid w:val="00D56C11"/>
    <w:rsid w:val="00D834A0"/>
    <w:rsid w:val="00D872DF"/>
    <w:rsid w:val="00D91E21"/>
    <w:rsid w:val="00DA7FCD"/>
    <w:rsid w:val="00E365E1"/>
    <w:rsid w:val="00E778C5"/>
    <w:rsid w:val="00E820A4"/>
    <w:rsid w:val="00EA754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264AB"/>
  <w15:chartTrackingRefBased/>
  <w15:docId w15:val="{591ED856-8278-416C-9FE0-43240E17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C7D4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8C7D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8C7D4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C7D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C7D4E"/>
    <w:rPr>
      <w:sz w:val="24"/>
      <w:lang w:val="cs-CZ"/>
    </w:rPr>
  </w:style>
  <w:style w:type="paragraph" w:customStyle="1" w:styleId="EPFooter">
    <w:name w:val="EPFooter"/>
    <w:basedOn w:val="Normal"/>
    <w:rsid w:val="008C7D4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C7D4E"/>
    <w:pPr>
      <w:spacing w:before="480" w:after="240"/>
    </w:pPr>
  </w:style>
  <w:style w:type="character" w:styleId="Hyperlink">
    <w:name w:val="Hyperlink"/>
    <w:basedOn w:val="DefaultParagraphFont"/>
    <w:rsid w:val="008C7D4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8C7D4E"/>
    <w:rPr>
      <w:sz w:val="24"/>
      <w:lang w:val="cs-CZ"/>
    </w:rPr>
  </w:style>
  <w:style w:type="character" w:customStyle="1" w:styleId="PageHeadingChar">
    <w:name w:val="PageHeading Char"/>
    <w:basedOn w:val="DefaultParagraphFont"/>
    <w:link w:val="PageHeading"/>
    <w:rsid w:val="008C7D4E"/>
    <w:rPr>
      <w:rFonts w:ascii="Arial" w:hAnsi="Arial" w:cs="Arial"/>
      <w:b/>
      <w:sz w:val="24"/>
      <w:lang w:val="cs-CZ"/>
    </w:rPr>
  </w:style>
  <w:style w:type="paragraph" w:styleId="Footer">
    <w:name w:val="footer"/>
    <w:basedOn w:val="Normal"/>
    <w:link w:val="FooterChar"/>
    <w:rsid w:val="00A827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827F8"/>
    <w:rPr>
      <w:sz w:val="24"/>
      <w:lang w:val="cs-CZ"/>
    </w:rPr>
  </w:style>
  <w:style w:type="paragraph" w:styleId="Revision">
    <w:name w:val="Revision"/>
    <w:hidden/>
    <w:uiPriority w:val="99"/>
    <w:semiHidden/>
    <w:rsid w:val="00A827F8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A827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F08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08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F0804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3F08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0804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1497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2026-05-12T09:45:00Z</dcterms:created>
  <dcterms:modified xsi:type="dcterms:W3CDTF">2026-05-12T09:45:00Z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P10_TA(2026)0103_</vt:lpwstr>
  </property>
  <property fmtid="{D5CDD505-2E9C-101B-9397-08002B2CF9AE}" pid="4" name="&lt;Type&gt;">
    <vt:lpwstr>RR</vt:lpwstr>
  </property>
</Properties>
</file>