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1783B" w14:paraId="2A9D31AE" w14:textId="77777777" w:rsidTr="0010095E">
        <w:trPr>
          <w:trHeight w:hRule="exact" w:val="1418"/>
        </w:trPr>
        <w:tc>
          <w:tcPr>
            <w:tcW w:w="6804" w:type="dxa"/>
            <w:shd w:val="clear" w:color="auto" w:fill="auto"/>
            <w:vAlign w:val="center"/>
          </w:tcPr>
          <w:p w14:paraId="21F27D5A" w14:textId="77777777" w:rsidR="00751A4A" w:rsidRPr="00F1783B" w:rsidRDefault="001A656D" w:rsidP="0010095E">
            <w:pPr>
              <w:pStyle w:val="EPName"/>
            </w:pPr>
            <w:r w:rsidRPr="00F1783B">
              <w:t>Euroopan parlamentti</w:t>
            </w:r>
          </w:p>
          <w:p w14:paraId="6EBFAA2D" w14:textId="77777777" w:rsidR="00751A4A" w:rsidRPr="00F1783B" w:rsidRDefault="005F1B17" w:rsidP="005F1B17">
            <w:pPr>
              <w:pStyle w:val="EPTerm"/>
              <w:rPr>
                <w:rStyle w:val="HideTWBExt"/>
                <w:noProof w:val="0"/>
                <w:vanish w:val="0"/>
                <w:color w:val="auto"/>
              </w:rPr>
            </w:pPr>
            <w:r w:rsidRPr="00F1783B">
              <w:t>2024</w:t>
            </w:r>
            <w:r w:rsidR="00817416" w:rsidRPr="00F1783B">
              <w:t>-202</w:t>
            </w:r>
            <w:r w:rsidRPr="00F1783B">
              <w:t>9</w:t>
            </w:r>
          </w:p>
        </w:tc>
        <w:tc>
          <w:tcPr>
            <w:tcW w:w="2268" w:type="dxa"/>
            <w:shd w:val="clear" w:color="auto" w:fill="auto"/>
          </w:tcPr>
          <w:p w14:paraId="49F0814D" w14:textId="77777777" w:rsidR="00751A4A" w:rsidRPr="00F1783B" w:rsidRDefault="00187494" w:rsidP="0010095E">
            <w:pPr>
              <w:pStyle w:val="EPLogo"/>
            </w:pPr>
            <w:r w:rsidRPr="00F1783B">
              <w:rPr>
                <w:noProof/>
                <w:lang w:eastAsia="ja-JP"/>
              </w:rPr>
              <w:drawing>
                <wp:inline distT="0" distB="0" distL="0" distR="0" wp14:anchorId="368C51D8" wp14:editId="402C946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B87975B" w14:textId="77777777" w:rsidR="00D058B8" w:rsidRPr="00F1783B" w:rsidRDefault="00D058B8" w:rsidP="004C5D52">
      <w:pPr>
        <w:pStyle w:val="LineTop"/>
      </w:pPr>
    </w:p>
    <w:p w14:paraId="4BC67246" w14:textId="77777777" w:rsidR="00680577" w:rsidRPr="00F1783B" w:rsidRDefault="001A656D" w:rsidP="00680577">
      <w:pPr>
        <w:pStyle w:val="EPBodyTA1"/>
      </w:pPr>
      <w:r w:rsidRPr="00F1783B">
        <w:t>HYVÄKSYTYT TEKSTIT</w:t>
      </w:r>
    </w:p>
    <w:p w14:paraId="171AB6C8" w14:textId="77777777" w:rsidR="00D058B8" w:rsidRPr="00F1783B" w:rsidRDefault="00D058B8" w:rsidP="00D058B8">
      <w:pPr>
        <w:pStyle w:val="LineBottom"/>
      </w:pPr>
    </w:p>
    <w:p w14:paraId="76E2D7D7" w14:textId="2037D31E" w:rsidR="001A656D" w:rsidRPr="00F1783B" w:rsidRDefault="001A656D" w:rsidP="001A656D">
      <w:pPr>
        <w:pStyle w:val="ATHeading1"/>
      </w:pPr>
      <w:bookmarkStart w:id="0" w:name="TANumber"/>
      <w:r w:rsidRPr="00F1783B">
        <w:t>P10_TA(2026)0</w:t>
      </w:r>
      <w:bookmarkEnd w:id="0"/>
      <w:r w:rsidR="00ED20E6" w:rsidRPr="00F1783B">
        <w:t>103</w:t>
      </w:r>
    </w:p>
    <w:p w14:paraId="6AD40DA2" w14:textId="46D174B4" w:rsidR="001A656D" w:rsidRPr="00F1783B" w:rsidRDefault="001A656D" w:rsidP="001A656D">
      <w:pPr>
        <w:pStyle w:val="ATHeading2"/>
      </w:pPr>
      <w:bookmarkStart w:id="1" w:name="title"/>
      <w:r w:rsidRPr="00F1783B">
        <w:t>Työttömiksi jääneitä työntekijöitä tukevan Euroopan globalisaatiorahaston varojen käyttöönotto:</w:t>
      </w:r>
      <w:r w:rsidR="006D1CFB" w:rsidRPr="00F1783B">
        <w:t xml:space="preserve"> </w:t>
      </w:r>
      <w:r w:rsidRPr="00F1783B">
        <w:t>hakemus EGF/2025/005 AT/KTM – Itävalta</w:t>
      </w:r>
      <w:bookmarkEnd w:id="1"/>
    </w:p>
    <w:p w14:paraId="641BF350" w14:textId="77777777" w:rsidR="001A656D" w:rsidRPr="00F1783B" w:rsidRDefault="001A656D" w:rsidP="001A656D">
      <w:pPr>
        <w:rPr>
          <w:i/>
          <w:vanish/>
        </w:rPr>
      </w:pPr>
      <w:r w:rsidRPr="00F1783B">
        <w:rPr>
          <w:i/>
        </w:rPr>
        <w:fldChar w:fldCharType="begin"/>
      </w:r>
      <w:r w:rsidRPr="00F1783B">
        <w:rPr>
          <w:i/>
        </w:rPr>
        <w:instrText xml:space="preserve"> TC"(</w:instrText>
      </w:r>
      <w:bookmarkStart w:id="2" w:name="DocNumber"/>
      <w:r w:rsidRPr="00F1783B">
        <w:rPr>
          <w:i/>
        </w:rPr>
        <w:instrText>A10-0060/2026</w:instrText>
      </w:r>
      <w:bookmarkEnd w:id="2"/>
      <w:r w:rsidRPr="00F1783B">
        <w:rPr>
          <w:i/>
        </w:rPr>
        <w:instrText xml:space="preserve"> - Esittelijä: Janusz Lewandowski)"\l3 \n&gt; \* MERGEFORMAT </w:instrText>
      </w:r>
      <w:r w:rsidRPr="00F1783B">
        <w:rPr>
          <w:i/>
        </w:rPr>
        <w:fldChar w:fldCharType="end"/>
      </w:r>
    </w:p>
    <w:p w14:paraId="1F5240D2" w14:textId="77777777" w:rsidR="001A656D" w:rsidRPr="00F1783B" w:rsidRDefault="001A656D" w:rsidP="001A656D">
      <w:pPr>
        <w:rPr>
          <w:vanish/>
        </w:rPr>
      </w:pPr>
      <w:bookmarkStart w:id="3" w:name="Commission"/>
      <w:r w:rsidRPr="00F1783B">
        <w:rPr>
          <w:vanish/>
        </w:rPr>
        <w:t>Budjettivaliokunta</w:t>
      </w:r>
      <w:bookmarkEnd w:id="3"/>
    </w:p>
    <w:p w14:paraId="318D7C53" w14:textId="77777777" w:rsidR="001A656D" w:rsidRPr="00F1783B" w:rsidRDefault="001A656D" w:rsidP="001A656D">
      <w:pPr>
        <w:rPr>
          <w:vanish/>
        </w:rPr>
      </w:pPr>
      <w:bookmarkStart w:id="4" w:name="PE"/>
      <w:r w:rsidRPr="00F1783B">
        <w:rPr>
          <w:vanish/>
        </w:rPr>
        <w:t>PE784.472</w:t>
      </w:r>
      <w:bookmarkEnd w:id="4"/>
    </w:p>
    <w:p w14:paraId="1BE7534C" w14:textId="022098C6" w:rsidR="001A656D" w:rsidRPr="00F1783B" w:rsidRDefault="001A656D" w:rsidP="001A656D">
      <w:pPr>
        <w:pStyle w:val="ATHeading3"/>
      </w:pPr>
      <w:bookmarkStart w:id="5" w:name="Sujet"/>
      <w:r w:rsidRPr="00F1783B">
        <w:t xml:space="preserve">Euroopan parlamentin päätöslauselma </w:t>
      </w:r>
      <w:r w:rsidR="00EB0510" w:rsidRPr="00F1783B">
        <w:t>26</w:t>
      </w:r>
      <w:r w:rsidRPr="00F1783B">
        <w:t>. maaliskuuta 2026 ehdotuksesta Euroopan parlamentin ja neuvoston päätökseksi työttömiksi jääneitä työntekijöitä tukevan Euroopan globalisaatiorahaston varojen käyttöönotosta Itävallan hakemuksen johdosta – EGF/2025/005 AT/KTM</w:t>
      </w:r>
      <w:bookmarkEnd w:id="5"/>
      <w:r w:rsidRPr="00F1783B">
        <w:t xml:space="preserve"> </w:t>
      </w:r>
      <w:bookmarkStart w:id="6" w:name="References"/>
      <w:r w:rsidRPr="00F1783B">
        <w:t>(COM(2026)0010 – C10-0026/2026 – 2026/0037(BUD))</w:t>
      </w:r>
      <w:bookmarkEnd w:id="6"/>
    </w:p>
    <w:p w14:paraId="5BE2F59C" w14:textId="77777777" w:rsidR="00202A55" w:rsidRPr="00F1783B" w:rsidRDefault="00202A55" w:rsidP="006D1CFB">
      <w:pPr>
        <w:pStyle w:val="EPComma"/>
        <w:widowControl/>
        <w:rPr>
          <w:noProof/>
        </w:rPr>
      </w:pPr>
      <w:r w:rsidRPr="00F1783B">
        <w:rPr>
          <w:i/>
        </w:rPr>
        <w:t>Euroopan parlamentti</w:t>
      </w:r>
      <w:r w:rsidRPr="00F1783B">
        <w:t>, joka</w:t>
      </w:r>
    </w:p>
    <w:p w14:paraId="2CF55344" w14:textId="77777777" w:rsidR="00202A55" w:rsidRPr="00F1783B" w:rsidRDefault="00202A55" w:rsidP="006D1CFB">
      <w:pPr>
        <w:pStyle w:val="NormalHanging12a"/>
        <w:widowControl/>
        <w:rPr>
          <w:noProof/>
        </w:rPr>
      </w:pPr>
      <w:r w:rsidRPr="00F1783B">
        <w:t>–</w:t>
      </w:r>
      <w:r w:rsidRPr="00F1783B">
        <w:tab/>
        <w:t>ottaa huomioon komission ehdotuksen Euroopan parlamentille ja neuvostolle (COM(2026)0010 – C10</w:t>
      </w:r>
      <w:r w:rsidRPr="00F1783B">
        <w:noBreakHyphen/>
        <w:t>0026/2026),</w:t>
      </w:r>
    </w:p>
    <w:p w14:paraId="5A881944" w14:textId="77777777" w:rsidR="00202A55" w:rsidRPr="00F1783B" w:rsidRDefault="00202A55" w:rsidP="006D1CFB">
      <w:pPr>
        <w:pStyle w:val="NormalHanging12a"/>
        <w:widowControl/>
        <w:rPr>
          <w:noProof/>
        </w:rPr>
      </w:pPr>
      <w:r w:rsidRPr="00F1783B">
        <w:t>–</w:t>
      </w:r>
      <w:r w:rsidRPr="00F1783B">
        <w:tab/>
        <w:t>ottaa huomioon Euroopan globalisaatiorahastosta (EGR) työttömiksi jääneille työntekijöille ja asetuksen (EU) N:o 1309/2013 kumoamisesta 28. huhtikuuta 2021 annetun Euroopan parlamentin ja neuvoston asetuksen (EU) 2021/691</w:t>
      </w:r>
      <w:r w:rsidRPr="00F1783B">
        <w:rPr>
          <w:noProof/>
          <w:vertAlign w:val="superscript"/>
        </w:rPr>
        <w:footnoteReference w:id="1"/>
      </w:r>
      <w:r w:rsidRPr="00F1783B">
        <w:t>, jäljempänä ’EGR-asetus’,</w:t>
      </w:r>
    </w:p>
    <w:p w14:paraId="323E1D12" w14:textId="77777777" w:rsidR="00202A55" w:rsidRPr="00F1783B" w:rsidRDefault="00202A55" w:rsidP="006D1CFB">
      <w:pPr>
        <w:pStyle w:val="NormalHanging12a"/>
        <w:widowControl/>
        <w:rPr>
          <w:noProof/>
        </w:rPr>
      </w:pPr>
      <w:r w:rsidRPr="00F1783B">
        <w:t>–</w:t>
      </w:r>
      <w:r w:rsidRPr="00F1783B">
        <w:tab/>
        <w:t>ottaa huomioon vuosia 2021–2027 koskevan monivuotisen rahoituskehyksen vahvistamisesta 17. joulukuuta 2020 annetun neuvoston asetuksen (EU, Euratom) 2020/2093</w:t>
      </w:r>
      <w:r w:rsidRPr="00F1783B">
        <w:rPr>
          <w:noProof/>
          <w:vertAlign w:val="superscript"/>
        </w:rPr>
        <w:footnoteReference w:id="2"/>
      </w:r>
      <w:r w:rsidRPr="00F1783B">
        <w:t>, sellaisena kuin se on muutettuna asetuksella (EU, Euratom) 2024/765</w:t>
      </w:r>
      <w:r w:rsidRPr="00F1783B">
        <w:rPr>
          <w:noProof/>
          <w:vertAlign w:val="superscript"/>
        </w:rPr>
        <w:footnoteReference w:id="3"/>
      </w:r>
      <w:r w:rsidRPr="00F1783B">
        <w:t>, jäljempänä ’rahoituskehysasetus’, ja erityisesti sen 8 artiklan,</w:t>
      </w:r>
    </w:p>
    <w:p w14:paraId="13EE0D70" w14:textId="77777777" w:rsidR="00202A55" w:rsidRPr="00F1783B" w:rsidRDefault="00202A55" w:rsidP="006D1CFB">
      <w:pPr>
        <w:pStyle w:val="NormalHanging12a"/>
        <w:widowControl/>
        <w:rPr>
          <w:noProof/>
        </w:rPr>
      </w:pPr>
      <w:r w:rsidRPr="00F1783B">
        <w:t>–</w:t>
      </w:r>
      <w:r w:rsidRPr="00F1783B">
        <w:tab/>
        <w:t xml:space="preserve">ottaa huomioon talousarviota koskevasta kurinalaisuudesta, talousarvioyhteistyöstä ja moitteettomasta varainhoidosta sekä uusista omista varoista, mukaan lukien etenemissuunnitelma uusien omien varojen käyttöönottamiseksi, 16. joulukuuta 2020 </w:t>
      </w:r>
      <w:r w:rsidRPr="00F1783B">
        <w:lastRenderedPageBreak/>
        <w:t>tehdyn Euroopan parlamentin, Euroopan unionin neuvoston ja Euroopan komission välisen toimielinten sopimuksen</w:t>
      </w:r>
      <w:r w:rsidRPr="00F1783B">
        <w:rPr>
          <w:noProof/>
          <w:vertAlign w:val="superscript"/>
        </w:rPr>
        <w:footnoteReference w:id="4"/>
      </w:r>
      <w:r w:rsidRPr="00F1783B">
        <w:t xml:space="preserve"> ja erityisesti sen 9 kohdan,</w:t>
      </w:r>
    </w:p>
    <w:p w14:paraId="2E86499F" w14:textId="77777777" w:rsidR="00202A55" w:rsidRPr="00F1783B" w:rsidRDefault="00202A55" w:rsidP="006D1CFB">
      <w:pPr>
        <w:pStyle w:val="NormalHanging12a"/>
        <w:widowControl/>
        <w:rPr>
          <w:noProof/>
        </w:rPr>
      </w:pPr>
      <w:r w:rsidRPr="00F1783B">
        <w:t>–</w:t>
      </w:r>
      <w:r w:rsidRPr="00F1783B">
        <w:tab/>
        <w:t>ottaa huomioon Euroopan sosiaalisten oikeuksien pilarin,</w:t>
      </w:r>
    </w:p>
    <w:p w14:paraId="70C31A9F" w14:textId="77777777" w:rsidR="00202A55" w:rsidRPr="00F1783B" w:rsidRDefault="00202A55" w:rsidP="006D1CFB">
      <w:pPr>
        <w:pStyle w:val="NormalHanging12a"/>
        <w:widowControl/>
        <w:rPr>
          <w:noProof/>
        </w:rPr>
      </w:pPr>
      <w:r w:rsidRPr="00F1783B">
        <w:t>–</w:t>
      </w:r>
      <w:r w:rsidRPr="00F1783B">
        <w:tab/>
        <w:t>ottaa huomioon työllisyyden ja sosiaaliasioiden valiokunnan lausunnon,</w:t>
      </w:r>
    </w:p>
    <w:p w14:paraId="07E13901" w14:textId="77777777" w:rsidR="00202A55" w:rsidRPr="00F1783B" w:rsidRDefault="00202A55" w:rsidP="006D1CFB">
      <w:pPr>
        <w:pStyle w:val="NormalHanging12a"/>
        <w:widowControl/>
        <w:rPr>
          <w:noProof/>
        </w:rPr>
      </w:pPr>
      <w:r w:rsidRPr="00F1783B">
        <w:t>–</w:t>
      </w:r>
      <w:r w:rsidRPr="00F1783B">
        <w:tab/>
        <w:t>ottaa huomioon budjettivaliokunnan mietinnön (A10-0060/2026),</w:t>
      </w:r>
    </w:p>
    <w:p w14:paraId="66549CEC" w14:textId="77777777" w:rsidR="00202A55" w:rsidRPr="00F1783B" w:rsidRDefault="00202A55" w:rsidP="006D1CFB">
      <w:pPr>
        <w:pStyle w:val="NormalHanging12a"/>
        <w:widowControl/>
        <w:rPr>
          <w:noProof/>
        </w:rPr>
      </w:pPr>
      <w:r w:rsidRPr="00F1783B">
        <w:t>A.</w:t>
      </w:r>
      <w:r w:rsidRPr="00F1783B">
        <w:tab/>
        <w:t>ottaa huomioon, että unioni on ottanut käyttöön lainsäädäntö- ja budjettivälineitä voidakseen tarjota lisätukea työntekijöille, jotka kärsivät maailmankaupan huomattavien rakenteellisten tapahtumien ja muutosten seurauksista, ja auttaakseen heitä palaamaan työmarkkinoille; toteaa, että tuki annetaan rahoitustukena työntekijöille;</w:t>
      </w:r>
    </w:p>
    <w:p w14:paraId="57150777" w14:textId="244FED30" w:rsidR="00202A55" w:rsidRPr="00F1783B" w:rsidRDefault="00202A55" w:rsidP="006D1CFB">
      <w:pPr>
        <w:pStyle w:val="NormalHanging12a"/>
        <w:widowControl/>
        <w:rPr>
          <w:noProof/>
        </w:rPr>
      </w:pPr>
      <w:r w:rsidRPr="00F1783B">
        <w:t>B.</w:t>
      </w:r>
      <w:r w:rsidRPr="00F1783B">
        <w:tab/>
        <w:t>ottaa huomioon, että Itävalta toimitti hakemuksen EGF/2025/005 AT/KTM rahoitustuen saamiseksi EGR:stä sen jälkeen, kun KTM Gruppe (KTM) oli vähentänyt NACE Rev.</w:t>
      </w:r>
      <w:r w:rsidR="00B74220" w:rsidRPr="00F1783B">
        <w:t> </w:t>
      </w:r>
      <w:r w:rsidRPr="00F1783B">
        <w:t>2:n kaksinumerotasoon</w:t>
      </w:r>
      <w:r w:rsidR="00B74220" w:rsidRPr="00F1783B">
        <w:t> </w:t>
      </w:r>
      <w:r w:rsidRPr="00F1783B">
        <w:t>30 (Muiden kulkuneuvojen valmistus) luokitellulla toimialalla Ylä-Itävallan alueella (AT31) 1</w:t>
      </w:r>
      <w:r w:rsidR="006D1CFB" w:rsidRPr="00F1783B">
        <w:t> </w:t>
      </w:r>
      <w:r w:rsidRPr="00F1783B">
        <w:t>488</w:t>
      </w:r>
      <w:r w:rsidR="006D1CFB" w:rsidRPr="00F1783B">
        <w:t> </w:t>
      </w:r>
      <w:r w:rsidRPr="00F1783B">
        <w:t>työntekijää</w:t>
      </w:r>
      <w:r w:rsidRPr="00F1783B">
        <w:rPr>
          <w:noProof/>
          <w:vertAlign w:val="superscript"/>
        </w:rPr>
        <w:footnoteReference w:id="5"/>
      </w:r>
      <w:r w:rsidRPr="00F1783B">
        <w:t>, joista 233</w:t>
      </w:r>
      <w:r w:rsidR="006D1CFB" w:rsidRPr="00F1783B">
        <w:t> </w:t>
      </w:r>
      <w:r w:rsidRPr="00F1783B">
        <w:t>työntekijän työskentely päättyi viiteajanjaksolla 25. helmikuuta 2025–25. kesäkuuta 2025 ja 1</w:t>
      </w:r>
      <w:r w:rsidR="006D1CFB" w:rsidRPr="00F1783B">
        <w:t> </w:t>
      </w:r>
      <w:r w:rsidRPr="00F1783B">
        <w:t>255</w:t>
      </w:r>
      <w:r w:rsidR="006D1CFB" w:rsidRPr="00F1783B">
        <w:t> </w:t>
      </w:r>
      <w:r w:rsidRPr="00F1783B">
        <w:t xml:space="preserve">työntekijän ennen viiteajanjaksoa tai sen jälkeen; </w:t>
      </w:r>
    </w:p>
    <w:p w14:paraId="5CCC3220" w14:textId="77777777" w:rsidR="00202A55" w:rsidRPr="00F1783B" w:rsidRDefault="00202A55" w:rsidP="006D1CFB">
      <w:pPr>
        <w:pStyle w:val="NormalHanging12a"/>
        <w:widowControl/>
        <w:rPr>
          <w:noProof/>
        </w:rPr>
      </w:pPr>
      <w:r w:rsidRPr="00F1783B">
        <w:t>C.</w:t>
      </w:r>
      <w:r w:rsidRPr="00F1783B">
        <w:tab/>
        <w:t>ottaa huomioon, että hakemus perustuu EGR-asetuksen 4 artiklan 2 kohdan a alakohdan mukaiseen toimintakriteeriin, jossa edellytyksenä on vähintään 200:n työttömäksi jääneen työntekijän tai itsenäisen ammatinharjoittajan työskentelyn loppuminen neljän kuukauden viiteajanjakson aikana jäsenvaltiossa sijaitsevassa yrityksessä; ottaa huomioon, että niiden 1 255:n työttömäksi jääneen työntekijän, joiden työskentely loppui ennen neljän kuukauden viiteajanjaksoa tai sen jälkeen, kohdalla on selkeä syy-yhteys tapahtumaan, joka aiheutti työttömiksi jääneiden työntekijöiden työskentelyn loppumisen viiteajanjakson aikana, kuten EGR-asetuksen 6 artiklan toisessa kohdassa edellytetään;</w:t>
      </w:r>
    </w:p>
    <w:p w14:paraId="20ABE3EC" w14:textId="77777777" w:rsidR="00202A55" w:rsidRPr="00F1783B" w:rsidRDefault="00202A55" w:rsidP="006D1CFB">
      <w:pPr>
        <w:pStyle w:val="NormalHanging12a"/>
        <w:widowControl/>
        <w:rPr>
          <w:noProof/>
        </w:rPr>
      </w:pPr>
      <w:r w:rsidRPr="00F1783B">
        <w:t>D.</w:t>
      </w:r>
      <w:r w:rsidRPr="00F1783B">
        <w:tab/>
        <w:t>ottaa huomioon, että KTM hakeutui maksukyvyttömyysmenettelyyn 29. marraskuuta 2024 ja että uudelleenjärjestelysuunnitelma hyväksyttiin 25. helmikuuta 2025; ottaa huomioon, että yrityksen tietyt päätökset jakaa osinkoja vuosina 2021 ja 2024 samalla, kun se sai julkista valtiontukea covid-19-pandemian aikana, herättävät huolta;</w:t>
      </w:r>
    </w:p>
    <w:p w14:paraId="7D539698" w14:textId="77777777" w:rsidR="00202A55" w:rsidRPr="00F1783B" w:rsidRDefault="00202A55" w:rsidP="006D1CFB">
      <w:pPr>
        <w:pStyle w:val="NormalHanging12a"/>
        <w:widowControl/>
        <w:rPr>
          <w:noProof/>
        </w:rPr>
      </w:pPr>
      <w:r w:rsidRPr="00F1783B">
        <w:t>E.</w:t>
      </w:r>
      <w:r w:rsidRPr="00F1783B">
        <w:tab/>
        <w:t>ottaa huomioon, että Itävalta ilmoitti, että Ylä-Itävallan julkinen työvoimapalvelu ja Ylä-Itävallan osavaltio tarjoavat toimenpiteisiin kansallista ennakko- ja yhteisrahoitusta;</w:t>
      </w:r>
    </w:p>
    <w:p w14:paraId="0AC53876" w14:textId="77777777" w:rsidR="00202A55" w:rsidRPr="00F1783B" w:rsidRDefault="00202A55" w:rsidP="006D1CFB">
      <w:pPr>
        <w:pStyle w:val="NormalHanging12a"/>
        <w:widowControl/>
        <w:rPr>
          <w:noProof/>
        </w:rPr>
      </w:pPr>
      <w:r w:rsidRPr="00F1783B">
        <w:t>F.</w:t>
      </w:r>
      <w:r w:rsidRPr="00F1783B">
        <w:tab/>
        <w:t>ottaa huomioon, että kansallisessa ja unionin lainsäädännössä joukkovähentämisistä säädettyjä vaatimuksia on noudatettu;</w:t>
      </w:r>
    </w:p>
    <w:p w14:paraId="4B13C86E" w14:textId="77777777" w:rsidR="00202A55" w:rsidRPr="00F1783B" w:rsidRDefault="00202A55" w:rsidP="006D1CFB">
      <w:pPr>
        <w:pStyle w:val="NormalHanging12a"/>
        <w:widowControl/>
        <w:rPr>
          <w:noProof/>
        </w:rPr>
      </w:pPr>
      <w:r w:rsidRPr="00F1783B">
        <w:t>G.</w:t>
      </w:r>
      <w:r w:rsidRPr="00F1783B">
        <w:tab/>
        <w:t>toteaa, että EGR:n rahoitustuki olisi keskitettävä ensisijaisesti aktiivisiin työvoimapoliittisiin toimenpiteisiin ja yksilöllisiin palveluihin, joiden tarkoituksena on, että edunsaajat palaavat nopeasti työmarkkinoille samalla, kun heille tarjotaan tulevaisuuden työmarkkinoille pääsyä helpottavia taitoja koskevaa koulutusta ja heitä valmistetaan vihreään ja digitaaliseen siirtymään;</w:t>
      </w:r>
    </w:p>
    <w:p w14:paraId="50FCFB54" w14:textId="77777777" w:rsidR="00202A55" w:rsidRPr="00F1783B" w:rsidRDefault="00202A55" w:rsidP="006D1CFB">
      <w:pPr>
        <w:pStyle w:val="NormalHanging12a"/>
        <w:widowControl/>
        <w:rPr>
          <w:noProof/>
        </w:rPr>
      </w:pPr>
      <w:r w:rsidRPr="00F1783B">
        <w:lastRenderedPageBreak/>
        <w:t>H.</w:t>
      </w:r>
      <w:r w:rsidRPr="00F1783B">
        <w:tab/>
        <w:t>ottaa huomioon, että EGR ei saa ylittää 30 miljoonan euron vuotuista enimmäismäärää (vuoden 2018 hintoina)</w:t>
      </w:r>
      <w:r w:rsidRPr="00F1783B">
        <w:rPr>
          <w:noProof/>
          <w:vertAlign w:val="superscript"/>
        </w:rPr>
        <w:footnoteReference w:id="6"/>
      </w:r>
      <w:r w:rsidRPr="00F1783B">
        <w:t>;</w:t>
      </w:r>
    </w:p>
    <w:p w14:paraId="1442976A" w14:textId="77777777" w:rsidR="00202A55" w:rsidRPr="00F1783B" w:rsidRDefault="00202A55" w:rsidP="006D1CFB">
      <w:pPr>
        <w:pStyle w:val="NormalHanging12a"/>
        <w:widowControl/>
        <w:rPr>
          <w:bCs/>
          <w:iCs/>
          <w:noProof/>
        </w:rPr>
      </w:pPr>
      <w:r w:rsidRPr="00F1783B">
        <w:t>I.</w:t>
      </w:r>
      <w:r w:rsidRPr="00F1783B">
        <w:tab/>
        <w:t>ottaa huomioon, että valmistustoiminnan viimeaikaiset siirtämiset unionin ulkopuolelle korostavat tarvetta vahvistaa Euroopan teollisuuden kilpailukykyä ja häiriönsietokykyä maailmanmarkkinoilla;</w:t>
      </w:r>
    </w:p>
    <w:p w14:paraId="59B78570" w14:textId="77777777" w:rsidR="00202A55" w:rsidRPr="00F1783B" w:rsidRDefault="00202A55" w:rsidP="006D1CFB">
      <w:pPr>
        <w:pStyle w:val="NormalHanging12a"/>
        <w:widowControl/>
        <w:rPr>
          <w:noProof/>
        </w:rPr>
      </w:pPr>
      <w:r w:rsidRPr="00F1783B">
        <w:t>1.</w:t>
      </w:r>
      <w:r w:rsidRPr="00F1783B">
        <w:tab/>
        <w:t>on yhtä mieltä komission kanssa siitä, että EGR-asetuksessa ja erityisesti sen 4 artiklan 2 kohdan a alakohdassa säädetyt edellytykset täyttyvät ja että Itävalta on oikeutettu saamaan kyseisen asetuksen mukaista rahoitustukea 1 806 624 euroa eli 60 prosenttia 3 011 040 euron kokonaiskustannuksista, joista yksilöllisten palvelujen osuus on 2 895 120 euroa ja valmistelu-, hallinnointi-, tiedotus-, mainonta-, valvonta- ja raportointitoimien osuus 115 920 euroa;</w:t>
      </w:r>
    </w:p>
    <w:p w14:paraId="708701E9" w14:textId="77777777" w:rsidR="00202A55" w:rsidRPr="00F1783B" w:rsidRDefault="00202A55" w:rsidP="006D1CFB">
      <w:pPr>
        <w:pStyle w:val="NormalHanging12a"/>
        <w:widowControl/>
        <w:rPr>
          <w:noProof/>
        </w:rPr>
      </w:pPr>
      <w:r w:rsidRPr="00F1783B">
        <w:t>2.</w:t>
      </w:r>
      <w:r w:rsidRPr="00F1783B">
        <w:tab/>
        <w:t>toteaa, että Itävallan viranomaiset toimittivat hakemuksen 15. syyskuuta 2025 ja että Itävallan toimitettua hakemusta koskevia lisätietoja komissio sai sitä koskevan arvionsa valmiiksi 6. helmikuuta 2026 ja ilmoitti asiasta parlamentille 11. helmikuuta 2026; korostaa, että on tärkeää lyhentää EGR-tukihakemuksen jättämisen ja rahoituspäätöksen välistä aikaa ja samalla turvata täysin Euroopan parlamentin oikeudet yhtenä budjettivallan käyttäjänä;</w:t>
      </w:r>
    </w:p>
    <w:p w14:paraId="06613AE3" w14:textId="018DC004" w:rsidR="00202A55" w:rsidRPr="00F1783B" w:rsidRDefault="00202A55" w:rsidP="006D1CFB">
      <w:pPr>
        <w:pStyle w:val="NormalHanging12a"/>
        <w:widowControl/>
        <w:rPr>
          <w:noProof/>
        </w:rPr>
      </w:pPr>
      <w:r w:rsidRPr="00F1783B">
        <w:t>3.</w:t>
      </w:r>
      <w:r w:rsidRPr="00F1783B">
        <w:tab/>
        <w:t>toteaa, että hakemus koskee 1 488:aa työntekijää, jotka ovat KTM:n maksukyvyttömyysmenettelyn kohteena, ja että menettely on Ylä-Itävallassa tähänastisista suurin; toteaa lisäksi, että kohteena olevia edunsaajia on yhteensä 420</w:t>
      </w:r>
      <w:r w:rsidR="006D1CFB" w:rsidRPr="00F1783B">
        <w:t> </w:t>
      </w:r>
      <w:r w:rsidRPr="00F1783B">
        <w:t>työttömäksi jäänyttä työntekijää, joiden odotetaan osallistuvan toimenpiteisiin;</w:t>
      </w:r>
    </w:p>
    <w:p w14:paraId="5B1CD807" w14:textId="77777777" w:rsidR="00202A55" w:rsidRPr="00F1783B" w:rsidRDefault="00202A55" w:rsidP="006D1CFB">
      <w:pPr>
        <w:pStyle w:val="NormalHanging12a"/>
        <w:widowControl/>
        <w:rPr>
          <w:noProof/>
        </w:rPr>
      </w:pPr>
      <w:r w:rsidRPr="00F1783B">
        <w:t>4.</w:t>
      </w:r>
      <w:r w:rsidRPr="00F1783B">
        <w:tab/>
        <w:t>toteaa, että KTM oli unionin suurin moottoripyörien tuottaja ja Pierer Mobility AG:n suurin tytäryhtiö; pitää valitettavana, että emoyhtiö päätti joulukuussa 2023 siirtää tuotantoa Kiinaan ja Intiaan epäreilujen kilpailuolosuhteiden vuoksi; toteaa, että tämä johti aluksi 300 työpaikan vähentämiseen ja että sitä seuranneet myyntitappiot saivat KTM:n karsimaan kustannuksia, myös irtisanomalla yli 500 työntekijää vuonna 2024;</w:t>
      </w:r>
    </w:p>
    <w:p w14:paraId="7C985BE8" w14:textId="77777777" w:rsidR="00202A55" w:rsidRPr="00F1783B" w:rsidRDefault="00202A55" w:rsidP="006D1CFB">
      <w:pPr>
        <w:pStyle w:val="NormalHanging12a"/>
        <w:widowControl/>
        <w:rPr>
          <w:noProof/>
        </w:rPr>
      </w:pPr>
      <w:r w:rsidRPr="00F1783B">
        <w:t>5.</w:t>
      </w:r>
      <w:r w:rsidRPr="00F1783B">
        <w:tab/>
        <w:t>toteaa, että emoyhtiön oli aloitettava uudelleenjärjestelyprosessi ja että ensimmäisen KTM:n tuotannon alasajon aikana vuonna 2025 vähennettiin vielä yli 750 työntekijää; toteaa, että sen lisäksi, että KTM karsi menojaan, sen oli mahdollista jatkaa toimintaansa, välttää konkurssi ja käynnistää tuotanto uudelleen heinäkuussa 2025 sijoittaja Bajaj Auto International Holdings B.V.:lta 22. toukokuuta 2025 saamiensa resurssien avulla;</w:t>
      </w:r>
    </w:p>
    <w:p w14:paraId="7C0ACB8A" w14:textId="77777777" w:rsidR="00202A55" w:rsidRPr="00F1783B" w:rsidRDefault="00202A55" w:rsidP="006D1CFB">
      <w:pPr>
        <w:pStyle w:val="NormalHanging12a"/>
        <w:widowControl/>
        <w:rPr>
          <w:noProof/>
        </w:rPr>
      </w:pPr>
      <w:r w:rsidRPr="00F1783B">
        <w:t>6.</w:t>
      </w:r>
      <w:r w:rsidRPr="00F1783B">
        <w:tab/>
        <w:t xml:space="preserve">toteaa, että KTM oli aiemmin yksi Euroopan menestyksekkäimmistä moottoripyörämerkeistä, merkittävä työnantaja ja monien tavarantoimittajien tärkeä taloudellinen tukipilari Ylä-Itävallan Braunaun piirikunnassa; toteaa, näiden toimien seurauksena piirikunnan työttömyysaste oli 37,1 prosenttia korkeammalla tasolla marraskuussa 2024 edellisvuoden vastaavaan kuukauteen verrattuna; panee merkille, että työttömyysaste oli Braunaun piirikunnassa ennätyksellisen korkea vuonna 2025; </w:t>
      </w:r>
    </w:p>
    <w:p w14:paraId="452F5B81" w14:textId="77777777" w:rsidR="00202A55" w:rsidRPr="00F1783B" w:rsidRDefault="00202A55" w:rsidP="006D1CFB">
      <w:pPr>
        <w:pStyle w:val="NormalHanging12a"/>
        <w:widowControl/>
        <w:rPr>
          <w:noProof/>
        </w:rPr>
      </w:pPr>
      <w:r w:rsidRPr="00F1783B">
        <w:t>7.</w:t>
      </w:r>
      <w:r w:rsidRPr="00F1783B">
        <w:tab/>
        <w:t xml:space="preserve">muistuttaa, että työntekijöille on tarjottava työmarkkinaosapuolten kanssa sovitun mukaisesti yksilöllisten palvelujen paketti, joka koostuu seuraavista toimenpiteistä: tapauksen hallinnointi; uraneuvonta ja uraohjaus; koulutus ja uudelleenkoulutus; proaktiivinen työnhaku; koulutusavustus; korostaa, että on tärkeää edistää laadukkaita ja </w:t>
      </w:r>
      <w:r w:rsidRPr="00F1783B">
        <w:lastRenderedPageBreak/>
        <w:t>tulevaisuuteen suuntautuvia työpaikkoja pitkän aikavälin taloudellisen ja sosiaalisen selviytymiskyvyn varmistamiseksi; painottaa, että on tärkeää tehdä tiivistä yhteistyötä alueellisten yritysten ja työnantajien kanssa sen varmistamiseksi, että koulutus- ja uudelleenkoulutusohjelmat vastaavat konkreettisiin työmarkkinatarpeisiin ja helpottavat työttömiksi jääneiden työntekijöiden nopeaa palaamista työmarkkinoille;</w:t>
      </w:r>
    </w:p>
    <w:p w14:paraId="44D62CC5" w14:textId="77777777" w:rsidR="00202A55" w:rsidRPr="00F1783B" w:rsidRDefault="00202A55" w:rsidP="006D1CFB">
      <w:pPr>
        <w:pStyle w:val="NormalHanging12a"/>
        <w:widowControl/>
        <w:rPr>
          <w:bCs/>
          <w:iCs/>
          <w:noProof/>
        </w:rPr>
      </w:pPr>
      <w:r w:rsidRPr="00F1783B">
        <w:t>8.</w:t>
      </w:r>
      <w:r w:rsidRPr="00F1783B">
        <w:tab/>
        <w:t>muistuttaa, että EGR on solidaarisuuden ja oikeudenmukaisen siirtymän väline ja että vaikka se tarjoaa tukea työpaikkojen menetysten jälkeen, se ei voi korvata ennakoivaa teollisuuspolitiikkaa; painottaa, että unionin ensisijaisena tehtävänä on oltava tällaisten sulkemisten estäminen alun pitäenkin luomalla edellytykset sille, että teollisuustuotannon kilpailukyky voidaan säilyttää, ja että samalla on investoitava sekä korkeasti koulutettujen että teollisuustyöntekijöiden osaamiseen; korostaa tarvetta tarjota matalasti koulutettujen työntekijöiden profiilin mukaan räätälöityä erityistukea ja toteuttaa samalla toimenpiteitä konkurssien vähentämiseksi ja ratkaisujen löytämiseksi sosiaaliseen eriarvoisuuteen, joka johtaa työvoiman syrjäytymiseen;</w:t>
      </w:r>
    </w:p>
    <w:p w14:paraId="6780514A" w14:textId="77777777" w:rsidR="00202A55" w:rsidRPr="00F1783B" w:rsidRDefault="00202A55" w:rsidP="006D1CFB">
      <w:pPr>
        <w:pStyle w:val="NormalHanging12a"/>
        <w:widowControl/>
        <w:rPr>
          <w:bCs/>
          <w:iCs/>
          <w:noProof/>
        </w:rPr>
      </w:pPr>
      <w:r w:rsidRPr="00F1783B">
        <w:t>9.</w:t>
      </w:r>
      <w:r w:rsidRPr="00F1783B">
        <w:tab/>
        <w:t>korostaa, että Itävallan viranomaisten on varmistettava unionin rahoituksen näkyvyys ja korostettava sen tuomaa lisäarvoa tiedottamalla siitä tehokkaasti ja kohdennetusti edunsaajille, alue- ja paikallisviranomaisille, työmarkkinaosapuolille ja suurelle yleisölle;</w:t>
      </w:r>
    </w:p>
    <w:p w14:paraId="40BB67EA" w14:textId="77777777" w:rsidR="00202A55" w:rsidRPr="00F1783B" w:rsidRDefault="00202A55" w:rsidP="006D1CFB">
      <w:pPr>
        <w:pStyle w:val="NormalHanging12a"/>
        <w:widowControl/>
        <w:rPr>
          <w:noProof/>
        </w:rPr>
      </w:pPr>
      <w:r w:rsidRPr="00F1783B">
        <w:t>10.</w:t>
      </w:r>
      <w:r w:rsidRPr="00F1783B">
        <w:tab/>
        <w:t>kehottaa laatimaan toteutetuista toimenpiteistä perusteelliset loppuarvioinnit, joissa on selkeästi ilmoitettu, miten varat on käytetty ja käytettiinkö ne hyväksyttyjen suunnitelmien mukaisesti;</w:t>
      </w:r>
    </w:p>
    <w:p w14:paraId="708E424A" w14:textId="251D3125" w:rsidR="00202A55" w:rsidRPr="00F1783B" w:rsidRDefault="00202A55" w:rsidP="006D1CFB">
      <w:pPr>
        <w:pStyle w:val="NormalHanging12a"/>
        <w:widowControl/>
        <w:rPr>
          <w:noProof/>
        </w:rPr>
      </w:pPr>
      <w:r w:rsidRPr="00F1783B">
        <w:t>11.</w:t>
      </w:r>
      <w:r w:rsidRPr="00F1783B">
        <w:tab/>
        <w:t>panee merkille, että Itävalta aloitti yksilöllisten palvelujen tarjoamisen kohteena oleville edunsaajille ja sille on aiheutunut hallinnollisia menoja EGR:n täytäntöönpanosta 1.</w:t>
      </w:r>
      <w:r w:rsidR="006D1CFB" w:rsidRPr="00F1783B">
        <w:t> </w:t>
      </w:r>
      <w:r w:rsidRPr="00F1783B">
        <w:t>maaliskuuta 2025 alkaen ja näin ollen EGR:n rahoitustukea voidaan myöntää kaudella, joka alkaa kyseisenä päivänä ja päättyy 24 kuukauden kuluttua (yksilölliset palvelut) ja 31</w:t>
      </w:r>
      <w:r w:rsidR="006D1CFB" w:rsidRPr="00F1783B">
        <w:t> </w:t>
      </w:r>
      <w:r w:rsidRPr="00F1783B">
        <w:t>kuukauden kuluttua (hallinnolliset menot) rahoituspäätöksen voimaantulopäivästä;</w:t>
      </w:r>
    </w:p>
    <w:p w14:paraId="1C91F943" w14:textId="77777777" w:rsidR="00202A55" w:rsidRPr="00F1783B" w:rsidRDefault="00202A55" w:rsidP="006D1CFB">
      <w:pPr>
        <w:pStyle w:val="NormalHanging12a"/>
        <w:widowControl/>
        <w:rPr>
          <w:noProof/>
        </w:rPr>
      </w:pPr>
      <w:r w:rsidRPr="00F1783B">
        <w:t>12.</w:t>
      </w:r>
      <w:r w:rsidRPr="00F1783B">
        <w:tab/>
        <w:t>toteaa Itävallan viranomaisten toimittaneen vakuutukset siitä, että suunniteltuihin toimiin osallistumisen ja niiden täytäntöönpanon osalta noudatetaan yhdenvertaisen kohtelun ja syrjimättömyyden periaatteita ja että kaksinkertainen rahoitus estetään;</w:t>
      </w:r>
    </w:p>
    <w:p w14:paraId="271433DE" w14:textId="77777777" w:rsidR="00202A55" w:rsidRPr="00F1783B" w:rsidRDefault="00202A55" w:rsidP="006D1CFB">
      <w:pPr>
        <w:pStyle w:val="NormalHanging12a"/>
        <w:widowControl/>
        <w:rPr>
          <w:noProof/>
        </w:rPr>
      </w:pPr>
      <w:r w:rsidRPr="00F1783B">
        <w:t>13.</w:t>
      </w:r>
      <w:r w:rsidRPr="00F1783B">
        <w:tab/>
        <w:t>muistuttaa, että EGR:n tuki ei saa korvata toimenpiteitä, jotka kansallisen lainsäädännön tai työehtosopimusten mukaan kuuluvat yritysten vastuulle;</w:t>
      </w:r>
    </w:p>
    <w:p w14:paraId="4D168BC9" w14:textId="77777777" w:rsidR="00202A55" w:rsidRPr="00F1783B" w:rsidRDefault="00202A55" w:rsidP="006D1CFB">
      <w:pPr>
        <w:pStyle w:val="NormalHanging12a"/>
        <w:widowControl/>
        <w:rPr>
          <w:noProof/>
        </w:rPr>
      </w:pPr>
      <w:r w:rsidRPr="00F1783B">
        <w:t>14.</w:t>
      </w:r>
      <w:r w:rsidRPr="00F1783B">
        <w:tab/>
        <w:t>hyväksyy tämän päätöslauselman liitteenä olevan päätöksen;</w:t>
      </w:r>
    </w:p>
    <w:p w14:paraId="74FD8A70" w14:textId="77777777" w:rsidR="00202A55" w:rsidRPr="00F1783B" w:rsidRDefault="00202A55" w:rsidP="006D1CFB">
      <w:pPr>
        <w:pStyle w:val="NormalHanging12a"/>
        <w:widowControl/>
        <w:rPr>
          <w:noProof/>
        </w:rPr>
      </w:pPr>
      <w:r w:rsidRPr="00F1783B">
        <w:t>15.</w:t>
      </w:r>
      <w:r w:rsidRPr="00F1783B">
        <w:tab/>
        <w:t xml:space="preserve">kehottaa puhemiestä allekirjoittamaan päätöksen neuvoston puheenjohtajan kanssa ja huolehtimaan sen julkaisemisesta </w:t>
      </w:r>
      <w:r w:rsidRPr="00F1783B">
        <w:rPr>
          <w:i/>
        </w:rPr>
        <w:t>Euroopan unionin virallisessa lehdessä</w:t>
      </w:r>
      <w:r w:rsidRPr="00F1783B">
        <w:t>;</w:t>
      </w:r>
    </w:p>
    <w:p w14:paraId="3DB4E485" w14:textId="77777777" w:rsidR="00202A55" w:rsidRPr="00F1783B" w:rsidRDefault="00202A55" w:rsidP="006D1CFB">
      <w:pPr>
        <w:pStyle w:val="NormalHanging12a"/>
        <w:widowControl/>
        <w:rPr>
          <w:noProof/>
        </w:rPr>
      </w:pPr>
      <w:r w:rsidRPr="00F1783B">
        <w:t>16.</w:t>
      </w:r>
      <w:r w:rsidRPr="00F1783B">
        <w:tab/>
        <w:t>kehottaa puhemiestä välittämään tämän päätöslauselman liitteineen neuvostolle ja komissiolle.</w:t>
      </w:r>
    </w:p>
    <w:p w14:paraId="5FAFA9A4" w14:textId="77777777" w:rsidR="00202A55" w:rsidRPr="00F1783B" w:rsidRDefault="00202A55" w:rsidP="006D1CFB">
      <w:pPr>
        <w:pStyle w:val="PageHeading"/>
        <w:widowControl/>
        <w:jc w:val="left"/>
        <w:rPr>
          <w:noProof/>
        </w:rPr>
        <w:sectPr w:rsidR="00202A55" w:rsidRPr="00F1783B" w:rsidSect="00C7298A">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10F9E15" w14:textId="77777777" w:rsidR="00AE4083" w:rsidRDefault="00202A55" w:rsidP="006D1CFB">
      <w:pPr>
        <w:pStyle w:val="PageHeading"/>
        <w:widowControl/>
        <w:rPr>
          <w:rFonts w:ascii="Times New Roman" w:hAnsi="Times New Roman" w:cs="Times New Roman"/>
        </w:rPr>
      </w:pPr>
      <w:bookmarkStart w:id="7" w:name="_Toc224807384"/>
      <w:r w:rsidRPr="00AE4083">
        <w:rPr>
          <w:rFonts w:ascii="Times New Roman" w:hAnsi="Times New Roman" w:cs="Times New Roman"/>
        </w:rPr>
        <w:lastRenderedPageBreak/>
        <w:t>LIITE</w:t>
      </w:r>
    </w:p>
    <w:p w14:paraId="710BE4EC" w14:textId="7F3080BD" w:rsidR="00202A55" w:rsidRPr="00AE4083" w:rsidRDefault="00202A55" w:rsidP="006D1CFB">
      <w:pPr>
        <w:pStyle w:val="PageHeading"/>
        <w:widowControl/>
        <w:rPr>
          <w:rFonts w:ascii="Times New Roman" w:hAnsi="Times New Roman" w:cs="Times New Roman"/>
          <w:noProof/>
        </w:rPr>
      </w:pPr>
      <w:r w:rsidRPr="00AE4083">
        <w:rPr>
          <w:rFonts w:ascii="Times New Roman" w:hAnsi="Times New Roman" w:cs="Times New Roman"/>
        </w:rPr>
        <w:t>EUROOPAN PARLAMENTIN JA NEUVOSTON PÄÄTÖS</w:t>
      </w:r>
      <w:bookmarkEnd w:id="7"/>
    </w:p>
    <w:p w14:paraId="705A2499" w14:textId="77777777" w:rsidR="00202A55" w:rsidRDefault="00202A55" w:rsidP="006D1CFB">
      <w:pPr>
        <w:pStyle w:val="NormalHanging12a"/>
        <w:widowControl/>
        <w:ind w:left="0" w:firstLine="0"/>
        <w:rPr>
          <w:b/>
        </w:rPr>
      </w:pPr>
      <w:bookmarkStart w:id="8" w:name="_Hlk212804276"/>
      <w:bookmarkStart w:id="9" w:name="_Hlk212804598"/>
      <w:r w:rsidRPr="00F1783B">
        <w:rPr>
          <w:b/>
        </w:rPr>
        <w:t>työttömiksi jääneitä työntekijöitä tukevan Euroopan globalisaatiorahaston varojen käyttöönotosta Itävallan hakemuksen johdosta – EGF/2025/005 AT/KTM</w:t>
      </w:r>
    </w:p>
    <w:p w14:paraId="085D55A0" w14:textId="79E5185D" w:rsidR="00AE4083" w:rsidRPr="00F1783B" w:rsidRDefault="00AE4083" w:rsidP="00AE4083">
      <w:pPr>
        <w:rPr>
          <w:b/>
          <w:bCs/>
        </w:rPr>
      </w:pPr>
      <w:r w:rsidRPr="006E0791">
        <w:rPr>
          <w:i/>
          <w:szCs w:val="24"/>
        </w:rPr>
        <w:t xml:space="preserve">(Tätä liitettä ei esitetä tässä, koska se vastaa lopullista säädöstä, päätöstä </w:t>
      </w:r>
      <w:r>
        <w:rPr>
          <w:i/>
          <w:szCs w:val="24"/>
        </w:rPr>
        <w:t>(</w:t>
      </w:r>
      <w:r w:rsidRPr="006E0791">
        <w:rPr>
          <w:i/>
          <w:szCs w:val="24"/>
        </w:rPr>
        <w:t>EU</w:t>
      </w:r>
      <w:r>
        <w:rPr>
          <w:i/>
          <w:szCs w:val="24"/>
        </w:rPr>
        <w:t>) 20</w:t>
      </w:r>
      <w:r>
        <w:rPr>
          <w:i/>
          <w:szCs w:val="24"/>
        </w:rPr>
        <w:t>26</w:t>
      </w:r>
      <w:r>
        <w:rPr>
          <w:i/>
          <w:szCs w:val="24"/>
        </w:rPr>
        <w:t>/</w:t>
      </w:r>
      <w:r>
        <w:rPr>
          <w:i/>
          <w:szCs w:val="24"/>
        </w:rPr>
        <w:t>850</w:t>
      </w:r>
      <w:r w:rsidRPr="006E0791">
        <w:rPr>
          <w:i/>
          <w:szCs w:val="24"/>
        </w:rPr>
        <w:t>.)</w:t>
      </w:r>
    </w:p>
    <w:bookmarkEnd w:id="8"/>
    <w:bookmarkEnd w:id="9"/>
    <w:sectPr w:rsidR="00AE4083" w:rsidRPr="00F1783B" w:rsidSect="00C7298A">
      <w:headerReference w:type="even" r:id="rId11"/>
      <w:headerReference w:type="default" r:id="rId12"/>
      <w:footerReference w:type="even"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38D10E" w14:textId="77777777" w:rsidR="001A656D" w:rsidRPr="00C7298A" w:rsidRDefault="001A656D">
      <w:r w:rsidRPr="00C7298A">
        <w:separator/>
      </w:r>
    </w:p>
  </w:endnote>
  <w:endnote w:type="continuationSeparator" w:id="0">
    <w:p w14:paraId="3B7E813C" w14:textId="77777777" w:rsidR="001A656D" w:rsidRPr="00C7298A" w:rsidRDefault="001A656D">
      <w:r w:rsidRPr="00C7298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CED96" w14:textId="77777777" w:rsidR="00202A55" w:rsidRPr="00C7298A" w:rsidRDefault="00202A55" w:rsidP="00CA5D74">
    <w:pPr>
      <w:pStyle w:val="EPFooter"/>
    </w:pPr>
    <w:r w:rsidRPr="00C7298A">
      <w:t>PE</w:t>
    </w:r>
    <w:r w:rsidRPr="00C7298A">
      <w:rPr>
        <w:rStyle w:val="HideTWBExt"/>
      </w:rPr>
      <w:t>&lt;NoPE&gt;</w:t>
    </w:r>
    <w:r w:rsidRPr="00C7298A">
      <w:t>784.472</w:t>
    </w:r>
    <w:r w:rsidRPr="00C7298A">
      <w:rPr>
        <w:rStyle w:val="HideTWBExt"/>
      </w:rPr>
      <w:t>&lt;/NoPE&gt;&lt;Version&gt;</w:t>
    </w:r>
    <w:r w:rsidRPr="00C7298A">
      <w:t>v02-00</w:t>
    </w:r>
    <w:r w:rsidRPr="00C7298A">
      <w:rPr>
        <w:rStyle w:val="HideTWBExt"/>
      </w:rPr>
      <w:t>&lt;/Version&gt;</w:t>
    </w:r>
    <w:r w:rsidRPr="00C7298A">
      <w:tab/>
    </w:r>
    <w:r w:rsidRPr="00C7298A">
      <w:fldChar w:fldCharType="begin"/>
    </w:r>
    <w:r w:rsidRPr="00C7298A">
      <w:instrText xml:space="preserve"> PAGE  \* MERGEFORMAT </w:instrText>
    </w:r>
    <w:r w:rsidRPr="00C7298A">
      <w:fldChar w:fldCharType="separate"/>
    </w:r>
    <w:r w:rsidRPr="00C7298A">
      <w:rPr>
        <w:noProof/>
      </w:rPr>
      <w:t>6</w:t>
    </w:r>
    <w:r w:rsidRPr="00C7298A">
      <w:fldChar w:fldCharType="end"/>
    </w:r>
    <w:r w:rsidRPr="00C7298A">
      <w:t>/</w:t>
    </w:r>
    <w:fldSimple w:instr=" NUMPAGES  \* MERGEFORMAT ">
      <w:r w:rsidRPr="00C7298A">
        <w:rPr>
          <w:noProof/>
        </w:rPr>
        <w:t>17</w:t>
      </w:r>
    </w:fldSimple>
    <w:r w:rsidRPr="00C7298A">
      <w:tab/>
    </w:r>
    <w:r w:rsidRPr="00C7298A">
      <w:rPr>
        <w:rStyle w:val="HideTWBExt"/>
      </w:rPr>
      <w:t>&lt;PathFdR&gt;</w:t>
    </w:r>
    <w:r w:rsidRPr="00C7298A">
      <w:t>RR\1339711FI.docx</w:t>
    </w:r>
    <w:r w:rsidRPr="00C7298A">
      <w:rPr>
        <w:rStyle w:val="HideTWBExt"/>
      </w:rPr>
      <w:t>&lt;/PathFdR&gt;</w:t>
    </w:r>
  </w:p>
  <w:p w14:paraId="30C36FA8" w14:textId="77777777" w:rsidR="00202A55" w:rsidRPr="00C7298A" w:rsidRDefault="00202A55" w:rsidP="00CA5D74">
    <w:pPr>
      <w:pStyle w:val="EPFooter2"/>
    </w:pPr>
    <w:r w:rsidRPr="00C7298A">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E0B16" w14:textId="77777777" w:rsidR="00202A55" w:rsidRPr="00C7298A" w:rsidRDefault="00202A55" w:rsidP="00CA5D74">
    <w:pPr>
      <w:pStyle w:val="EPFooter"/>
    </w:pPr>
    <w:r w:rsidRPr="00C7298A">
      <w:rPr>
        <w:rStyle w:val="HideTWBExt"/>
      </w:rPr>
      <w:t>&lt;PathFdR&gt;</w:t>
    </w:r>
    <w:r w:rsidRPr="00C7298A">
      <w:t>RR\1339711FI.docx</w:t>
    </w:r>
    <w:r w:rsidRPr="00C7298A">
      <w:rPr>
        <w:rStyle w:val="HideTWBExt"/>
      </w:rPr>
      <w:t>&lt;/PathFdR&gt;</w:t>
    </w:r>
    <w:r w:rsidRPr="00C7298A">
      <w:tab/>
    </w:r>
    <w:r w:rsidRPr="00C7298A">
      <w:tab/>
      <w:t>PE</w:t>
    </w:r>
    <w:r w:rsidRPr="00C7298A">
      <w:rPr>
        <w:rStyle w:val="HideTWBExt"/>
      </w:rPr>
      <w:t>&lt;NoPE&gt;</w:t>
    </w:r>
    <w:r w:rsidRPr="00C7298A">
      <w:t>784.472</w:t>
    </w:r>
    <w:r w:rsidRPr="00C7298A">
      <w:rPr>
        <w:rStyle w:val="HideTWBExt"/>
      </w:rPr>
      <w:t>&lt;/NoPE&gt;&lt;Version&gt;</w:t>
    </w:r>
    <w:r w:rsidRPr="00C7298A">
      <w:t>v02-00</w:t>
    </w:r>
    <w:r w:rsidRPr="00C7298A">
      <w:rPr>
        <w:rStyle w:val="HideTWBExt"/>
      </w:rPr>
      <w:t>&lt;/Version&gt;</w:t>
    </w:r>
  </w:p>
  <w:p w14:paraId="47EC3A30" w14:textId="77777777" w:rsidR="00202A55" w:rsidRPr="00C7298A" w:rsidRDefault="00202A55" w:rsidP="00CA5D74">
    <w:pPr>
      <w:pStyle w:val="EPFooter2"/>
    </w:pPr>
    <w:r w:rsidRPr="00C7298A">
      <w:t>FI</w:t>
    </w:r>
    <w:r w:rsidRPr="00C7298A">
      <w:tab/>
    </w:r>
    <w:r w:rsidRPr="00C7298A">
      <w:rPr>
        <w:b w:val="0"/>
        <w:i/>
        <w:color w:val="C0C0C0"/>
        <w:sz w:val="22"/>
      </w:rPr>
      <w:t>Moninaisuudessaan yhtenäinen</w:t>
    </w:r>
    <w:r w:rsidRPr="00C7298A">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23F43" w14:textId="77777777" w:rsidR="00064002" w:rsidRPr="00C7298A"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595F7" w14:textId="77777777" w:rsidR="00064002" w:rsidRPr="00C7298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B52F9D" w14:textId="77777777" w:rsidR="001A656D" w:rsidRPr="00C7298A" w:rsidRDefault="001A656D">
      <w:r w:rsidRPr="00C7298A">
        <w:separator/>
      </w:r>
    </w:p>
  </w:footnote>
  <w:footnote w:type="continuationSeparator" w:id="0">
    <w:p w14:paraId="5AABEBCD" w14:textId="77777777" w:rsidR="001A656D" w:rsidRPr="00C7298A" w:rsidRDefault="001A656D">
      <w:r w:rsidRPr="00C7298A">
        <w:continuationSeparator/>
      </w:r>
    </w:p>
  </w:footnote>
  <w:footnote w:id="1">
    <w:p w14:paraId="19C7803B" w14:textId="53869537" w:rsidR="00202A55" w:rsidRPr="00C7298A" w:rsidRDefault="00202A55" w:rsidP="00C7298A">
      <w:pPr>
        <w:pStyle w:val="FootnoteText"/>
        <w:ind w:left="567" w:hanging="567"/>
        <w:rPr>
          <w:sz w:val="24"/>
          <w:lang w:val="fi-FI"/>
        </w:rPr>
      </w:pPr>
      <w:r w:rsidRPr="00C7298A">
        <w:rPr>
          <w:rStyle w:val="FootnoteReference"/>
          <w:sz w:val="24"/>
          <w:lang w:val="fi-FI"/>
        </w:rPr>
        <w:footnoteRef/>
      </w:r>
      <w:r w:rsidR="00C7298A" w:rsidRPr="00C7298A">
        <w:rPr>
          <w:sz w:val="24"/>
          <w:lang w:val="fi-FI"/>
        </w:rPr>
        <w:t xml:space="preserve"> </w:t>
      </w:r>
      <w:r w:rsidR="00C7298A" w:rsidRPr="00C7298A">
        <w:rPr>
          <w:sz w:val="24"/>
          <w:lang w:val="fi-FI"/>
        </w:rPr>
        <w:tab/>
      </w:r>
      <w:r w:rsidRPr="00C7298A">
        <w:rPr>
          <w:sz w:val="24"/>
          <w:lang w:val="fi-FI"/>
        </w:rPr>
        <w:t xml:space="preserve">EUVL L 153, 3.5.2021, s. 48, ELI: </w:t>
      </w:r>
      <w:hyperlink r:id="rId1" w:history="1">
        <w:r w:rsidRPr="00C7298A">
          <w:rPr>
            <w:rStyle w:val="Hyperlink"/>
            <w:sz w:val="24"/>
            <w:lang w:val="fi-FI"/>
          </w:rPr>
          <w:t>http://data.europa.eu/eli/reg/2021/691/oj</w:t>
        </w:r>
      </w:hyperlink>
      <w:r w:rsidRPr="00C7298A">
        <w:rPr>
          <w:sz w:val="24"/>
          <w:lang w:val="fi-FI"/>
        </w:rPr>
        <w:t>.</w:t>
      </w:r>
    </w:p>
  </w:footnote>
  <w:footnote w:id="2">
    <w:p w14:paraId="158F1A6C" w14:textId="31640583" w:rsidR="00202A55" w:rsidRPr="00C7298A" w:rsidRDefault="00202A55" w:rsidP="00C7298A">
      <w:pPr>
        <w:pStyle w:val="FootnoteText"/>
        <w:ind w:left="567" w:hanging="567"/>
        <w:rPr>
          <w:sz w:val="24"/>
          <w:lang w:val="fi-FI"/>
        </w:rPr>
      </w:pPr>
      <w:r w:rsidRPr="00C7298A">
        <w:rPr>
          <w:rStyle w:val="FootnoteReference"/>
          <w:sz w:val="24"/>
          <w:lang w:val="fi-FI"/>
        </w:rPr>
        <w:footnoteRef/>
      </w:r>
      <w:r w:rsidR="00C7298A" w:rsidRPr="00C7298A">
        <w:rPr>
          <w:sz w:val="24"/>
          <w:lang w:val="fi-FI"/>
        </w:rPr>
        <w:t xml:space="preserve"> </w:t>
      </w:r>
      <w:r w:rsidR="00C7298A" w:rsidRPr="00C7298A">
        <w:rPr>
          <w:sz w:val="24"/>
          <w:lang w:val="fi-FI"/>
        </w:rPr>
        <w:tab/>
      </w:r>
      <w:r w:rsidRPr="00C7298A">
        <w:rPr>
          <w:sz w:val="24"/>
          <w:lang w:val="fi-FI"/>
        </w:rPr>
        <w:t xml:space="preserve">EUVL L 433 I, 22.12.2020, s. 11, ELI: </w:t>
      </w:r>
      <w:hyperlink r:id="rId2" w:history="1">
        <w:r w:rsidRPr="00C7298A">
          <w:rPr>
            <w:rStyle w:val="Hyperlink"/>
            <w:sz w:val="24"/>
            <w:lang w:val="fi-FI"/>
          </w:rPr>
          <w:t>http://data.europa.eu/eli/reg/2020/2093/oj</w:t>
        </w:r>
      </w:hyperlink>
      <w:r w:rsidRPr="00C7298A">
        <w:rPr>
          <w:sz w:val="24"/>
          <w:lang w:val="fi-FI"/>
        </w:rPr>
        <w:t>.</w:t>
      </w:r>
    </w:p>
  </w:footnote>
  <w:footnote w:id="3">
    <w:p w14:paraId="2DF5638C" w14:textId="1EB6140E" w:rsidR="00202A55" w:rsidRPr="00C7298A" w:rsidRDefault="00202A55" w:rsidP="00C7298A">
      <w:pPr>
        <w:pStyle w:val="FootnoteText"/>
        <w:ind w:left="567" w:hanging="567"/>
        <w:rPr>
          <w:sz w:val="24"/>
          <w:lang w:val="fi-FI"/>
        </w:rPr>
      </w:pPr>
      <w:r w:rsidRPr="00C7298A">
        <w:rPr>
          <w:rStyle w:val="FootnoteReference"/>
          <w:sz w:val="24"/>
          <w:lang w:val="fi-FI"/>
        </w:rPr>
        <w:footnoteRef/>
      </w:r>
      <w:r w:rsidR="00C7298A" w:rsidRPr="00C7298A">
        <w:rPr>
          <w:sz w:val="24"/>
          <w:shd w:val="clear" w:color="auto" w:fill="FFFFFF"/>
          <w:lang w:val="fi-FI"/>
        </w:rPr>
        <w:t xml:space="preserve"> </w:t>
      </w:r>
      <w:r w:rsidR="00C7298A" w:rsidRPr="00C7298A">
        <w:rPr>
          <w:sz w:val="24"/>
          <w:shd w:val="clear" w:color="auto" w:fill="FFFFFF"/>
          <w:lang w:val="fi-FI"/>
        </w:rPr>
        <w:tab/>
      </w:r>
      <w:r w:rsidRPr="00C7298A">
        <w:rPr>
          <w:sz w:val="24"/>
          <w:shd w:val="clear" w:color="auto" w:fill="FFFFFF"/>
          <w:lang w:val="fi-FI"/>
        </w:rPr>
        <w:t xml:space="preserve">Neuvoston asetus (EU, Euratom) 2024/765, annettu 29. helmikuuta 2024, vuosia 2021–2027 koskevan monivuotisen rahoituskehyksen vahvistamisesta annetun asetuksen (EU, Euratom) 2020/2093 muuttamisesta (EUVL L, 2024/765, 29.2.2024, ELI: </w:t>
      </w:r>
      <w:hyperlink r:id="rId3" w:history="1">
        <w:r w:rsidRPr="00C7298A">
          <w:rPr>
            <w:rStyle w:val="Hyperlink"/>
            <w:sz w:val="24"/>
            <w:shd w:val="clear" w:color="auto" w:fill="FFFFFF"/>
            <w:lang w:val="fi-FI"/>
          </w:rPr>
          <w:t>http://data.europa.eu/eli/reg/2024/765/oj</w:t>
        </w:r>
      </w:hyperlink>
      <w:r w:rsidRPr="00C7298A">
        <w:rPr>
          <w:sz w:val="24"/>
          <w:shd w:val="clear" w:color="auto" w:fill="FFFFFF"/>
          <w:lang w:val="fi-FI"/>
        </w:rPr>
        <w:t>)</w:t>
      </w:r>
      <w:r w:rsidRPr="00C7298A">
        <w:rPr>
          <w:i/>
          <w:sz w:val="24"/>
          <w:shd w:val="clear" w:color="auto" w:fill="FFFFFF"/>
          <w:lang w:val="fi-FI"/>
        </w:rPr>
        <w:t>.</w:t>
      </w:r>
    </w:p>
  </w:footnote>
  <w:footnote w:id="4">
    <w:p w14:paraId="39F8C22F" w14:textId="18CBE73E" w:rsidR="00202A55" w:rsidRPr="00C7298A" w:rsidRDefault="00202A55" w:rsidP="00C7298A">
      <w:pPr>
        <w:pStyle w:val="FootnoteText"/>
        <w:ind w:left="567" w:hanging="567"/>
        <w:rPr>
          <w:sz w:val="24"/>
          <w:lang w:val="fi-FI"/>
        </w:rPr>
      </w:pPr>
      <w:r w:rsidRPr="00C7298A">
        <w:rPr>
          <w:rStyle w:val="FootnoteReference"/>
          <w:sz w:val="24"/>
          <w:lang w:val="fi-FI"/>
        </w:rPr>
        <w:footnoteRef/>
      </w:r>
      <w:r w:rsidR="00C7298A" w:rsidRPr="00C7298A">
        <w:rPr>
          <w:sz w:val="24"/>
          <w:lang w:val="fi-FI"/>
        </w:rPr>
        <w:t xml:space="preserve"> </w:t>
      </w:r>
      <w:r w:rsidR="00C7298A" w:rsidRPr="00C7298A">
        <w:rPr>
          <w:sz w:val="24"/>
          <w:lang w:val="fi-FI"/>
        </w:rPr>
        <w:tab/>
      </w:r>
      <w:r w:rsidRPr="00C7298A">
        <w:rPr>
          <w:sz w:val="24"/>
          <w:lang w:val="fi-FI"/>
        </w:rPr>
        <w:t xml:space="preserve">EUVL L 433 I, 22.12.2020, s. 28, ELI: </w:t>
      </w:r>
      <w:hyperlink r:id="rId4" w:history="1">
        <w:r w:rsidRPr="00C7298A">
          <w:rPr>
            <w:rStyle w:val="Hyperlink"/>
            <w:sz w:val="24"/>
            <w:lang w:val="fi-FI"/>
          </w:rPr>
          <w:t>http://data.europa.eu/eli/agree_interinstit/2020/1222/oj</w:t>
        </w:r>
      </w:hyperlink>
      <w:r w:rsidRPr="00C7298A">
        <w:rPr>
          <w:sz w:val="24"/>
          <w:lang w:val="fi-FI"/>
        </w:rPr>
        <w:t>.</w:t>
      </w:r>
    </w:p>
  </w:footnote>
  <w:footnote w:id="5">
    <w:p w14:paraId="173E5420" w14:textId="14A5C588" w:rsidR="00202A55" w:rsidRPr="00C7298A" w:rsidRDefault="00202A55" w:rsidP="00C7298A">
      <w:pPr>
        <w:pStyle w:val="FootnoteText"/>
        <w:ind w:left="567" w:hanging="567"/>
        <w:rPr>
          <w:sz w:val="24"/>
          <w:lang w:val="fi-FI"/>
        </w:rPr>
      </w:pPr>
      <w:r w:rsidRPr="00C7298A">
        <w:rPr>
          <w:rStyle w:val="FootnoteReference"/>
          <w:sz w:val="24"/>
          <w:lang w:val="fi-FI"/>
        </w:rPr>
        <w:footnoteRef/>
      </w:r>
      <w:r w:rsidR="00C7298A" w:rsidRPr="00C7298A">
        <w:rPr>
          <w:sz w:val="24"/>
          <w:lang w:val="fi-FI"/>
        </w:rPr>
        <w:t xml:space="preserve"> </w:t>
      </w:r>
      <w:r w:rsidR="00C7298A" w:rsidRPr="00C7298A">
        <w:rPr>
          <w:sz w:val="24"/>
          <w:lang w:val="fi-FI"/>
        </w:rPr>
        <w:tab/>
      </w:r>
      <w:r w:rsidRPr="00C7298A">
        <w:rPr>
          <w:sz w:val="24"/>
          <w:lang w:val="fi-FI"/>
        </w:rPr>
        <w:t>EGR-asetuksen 3 artiklan mukaisessa merkityksessä.</w:t>
      </w:r>
    </w:p>
  </w:footnote>
  <w:footnote w:id="6">
    <w:p w14:paraId="4D2E1B4D" w14:textId="73BAD5A6" w:rsidR="00202A55" w:rsidRPr="00C7298A" w:rsidRDefault="00202A55" w:rsidP="00C7298A">
      <w:pPr>
        <w:pStyle w:val="FootnoteText"/>
        <w:ind w:left="567" w:hanging="567"/>
        <w:rPr>
          <w:sz w:val="24"/>
          <w:lang w:val="fi-FI"/>
        </w:rPr>
      </w:pPr>
      <w:r w:rsidRPr="00C7298A">
        <w:rPr>
          <w:rStyle w:val="FootnoteReference"/>
          <w:sz w:val="24"/>
          <w:lang w:val="fi-FI"/>
        </w:rPr>
        <w:footnoteRef/>
      </w:r>
      <w:r w:rsidR="00C7298A" w:rsidRPr="00C7298A">
        <w:rPr>
          <w:sz w:val="24"/>
          <w:lang w:val="fi-FI"/>
        </w:rPr>
        <w:t xml:space="preserve"> </w:t>
      </w:r>
      <w:r w:rsidR="00C7298A" w:rsidRPr="00C7298A">
        <w:rPr>
          <w:sz w:val="24"/>
          <w:lang w:val="fi-FI"/>
        </w:rPr>
        <w:tab/>
      </w:r>
      <w:r w:rsidRPr="00C7298A">
        <w:rPr>
          <w:sz w:val="24"/>
          <w:lang w:val="fi-FI"/>
        </w:rPr>
        <w:t>Rahoituskehysasetuksen 8 artikla.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2C823" w14:textId="77777777" w:rsidR="00064002" w:rsidRPr="00C7298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4A021" w14:textId="77777777" w:rsidR="00064002" w:rsidRPr="00C7298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760EF" w14:textId="77777777" w:rsidR="00064002" w:rsidRPr="00C7298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005106">
    <w:abstractNumId w:val="9"/>
  </w:num>
  <w:num w:numId="2" w16cid:durableId="2097509364">
    <w:abstractNumId w:val="9"/>
  </w:num>
  <w:num w:numId="3" w16cid:durableId="216011354">
    <w:abstractNumId w:val="7"/>
  </w:num>
  <w:num w:numId="4" w16cid:durableId="2011175110">
    <w:abstractNumId w:val="7"/>
  </w:num>
  <w:num w:numId="5" w16cid:durableId="396979109">
    <w:abstractNumId w:val="6"/>
  </w:num>
  <w:num w:numId="6" w16cid:durableId="2008439109">
    <w:abstractNumId w:val="6"/>
  </w:num>
  <w:num w:numId="7" w16cid:durableId="1932543113">
    <w:abstractNumId w:val="5"/>
  </w:num>
  <w:num w:numId="8" w16cid:durableId="310596729">
    <w:abstractNumId w:val="5"/>
  </w:num>
  <w:num w:numId="9" w16cid:durableId="60907942">
    <w:abstractNumId w:val="4"/>
  </w:num>
  <w:num w:numId="10" w16cid:durableId="1951089593">
    <w:abstractNumId w:val="4"/>
  </w:num>
  <w:num w:numId="11" w16cid:durableId="1396011397">
    <w:abstractNumId w:val="8"/>
  </w:num>
  <w:num w:numId="12" w16cid:durableId="161774637">
    <w:abstractNumId w:val="8"/>
  </w:num>
  <w:num w:numId="13" w16cid:durableId="1891454221">
    <w:abstractNumId w:val="3"/>
  </w:num>
  <w:num w:numId="14" w16cid:durableId="787626629">
    <w:abstractNumId w:val="3"/>
  </w:num>
  <w:num w:numId="15" w16cid:durableId="1227840697">
    <w:abstractNumId w:val="2"/>
  </w:num>
  <w:num w:numId="16" w16cid:durableId="927881478">
    <w:abstractNumId w:val="2"/>
  </w:num>
  <w:num w:numId="17" w16cid:durableId="543837006">
    <w:abstractNumId w:val="1"/>
  </w:num>
  <w:num w:numId="18" w16cid:durableId="133184214">
    <w:abstractNumId w:val="1"/>
  </w:num>
  <w:num w:numId="19" w16cid:durableId="809830115">
    <w:abstractNumId w:val="0"/>
  </w:num>
  <w:num w:numId="20" w16cid:durableId="902178235">
    <w:abstractNumId w:val="0"/>
  </w:num>
  <w:num w:numId="21" w16cid:durableId="1592659892">
    <w:abstractNumId w:val="9"/>
  </w:num>
  <w:num w:numId="22" w16cid:durableId="1390299052">
    <w:abstractNumId w:val="7"/>
  </w:num>
  <w:num w:numId="23" w16cid:durableId="1125612425">
    <w:abstractNumId w:val="6"/>
  </w:num>
  <w:num w:numId="24" w16cid:durableId="79838539">
    <w:abstractNumId w:val="5"/>
  </w:num>
  <w:num w:numId="25" w16cid:durableId="1260528461">
    <w:abstractNumId w:val="4"/>
  </w:num>
  <w:num w:numId="26" w16cid:durableId="822935713">
    <w:abstractNumId w:val="8"/>
  </w:num>
  <w:num w:numId="27" w16cid:durableId="513958008">
    <w:abstractNumId w:val="3"/>
  </w:num>
  <w:num w:numId="28" w16cid:durableId="871303221">
    <w:abstractNumId w:val="2"/>
  </w:num>
  <w:num w:numId="29" w16cid:durableId="1198809686">
    <w:abstractNumId w:val="1"/>
  </w:num>
  <w:num w:numId="30" w16cid:durableId="713965882">
    <w:abstractNumId w:val="0"/>
  </w:num>
  <w:num w:numId="31" w16cid:durableId="356010391">
    <w:abstractNumId w:val="9"/>
  </w:num>
  <w:num w:numId="32" w16cid:durableId="231887822">
    <w:abstractNumId w:val="7"/>
  </w:num>
  <w:num w:numId="33" w16cid:durableId="1447579953">
    <w:abstractNumId w:val="6"/>
  </w:num>
  <w:num w:numId="34" w16cid:durableId="1375082286">
    <w:abstractNumId w:val="5"/>
  </w:num>
  <w:num w:numId="35" w16cid:durableId="271282631">
    <w:abstractNumId w:val="4"/>
  </w:num>
  <w:num w:numId="36" w16cid:durableId="531770356">
    <w:abstractNumId w:val="8"/>
  </w:num>
  <w:num w:numId="37" w16cid:durableId="1565722556">
    <w:abstractNumId w:val="3"/>
  </w:num>
  <w:num w:numId="38" w16cid:durableId="18434072">
    <w:abstractNumId w:val="2"/>
  </w:num>
  <w:num w:numId="39" w16cid:durableId="282544078">
    <w:abstractNumId w:val="1"/>
  </w:num>
  <w:num w:numId="40" w16cid:durableId="369693352">
    <w:abstractNumId w:val="0"/>
  </w:num>
  <w:num w:numId="41" w16cid:durableId="571814191">
    <w:abstractNumId w:val="10"/>
  </w:num>
  <w:num w:numId="42" w16cid:durableId="1523087800">
    <w:abstractNumId w:val="10"/>
  </w:num>
  <w:num w:numId="43" w16cid:durableId="1153644547">
    <w:abstractNumId w:val="10"/>
  </w:num>
  <w:num w:numId="44" w16cid:durableId="10934729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60/2026"/>
    <w:docVar w:name="dvlangue" w:val="FI"/>
    <w:docVar w:name="dvnumam" w:val="0"/>
    <w:docVar w:name="dvpe" w:val="784.472"/>
    <w:docVar w:name="dvrapporteur" w:val="Esittelijä: "/>
    <w:docVar w:name="dvtitre" w:val="Euroopan parlamentin päätöslauselma xx. maaliskuuta 2026 ehdotuksesta Euroopan parlamentin ja neuvoston päätökseksi työttömiksi jääneitä työntekijöitä tukevan Euroopan globalisaatiorahaston varojen käyttöönotosta Itävallan hakemuksen johdosta – EGF/2025/005 AT/KTM(COM(2026)0010 – C10-0026/2026 – 2026/0037(BUD))"/>
  </w:docVars>
  <w:rsids>
    <w:rsidRoot w:val="001A656D"/>
    <w:rsid w:val="00002272"/>
    <w:rsid w:val="00064002"/>
    <w:rsid w:val="000677B9"/>
    <w:rsid w:val="000831BA"/>
    <w:rsid w:val="000A42CC"/>
    <w:rsid w:val="000E7DD9"/>
    <w:rsid w:val="0010095E"/>
    <w:rsid w:val="00125B37"/>
    <w:rsid w:val="00187494"/>
    <w:rsid w:val="00190BC2"/>
    <w:rsid w:val="001A656D"/>
    <w:rsid w:val="001F32AE"/>
    <w:rsid w:val="00202A55"/>
    <w:rsid w:val="002767FF"/>
    <w:rsid w:val="002B18FE"/>
    <w:rsid w:val="002B5493"/>
    <w:rsid w:val="00343214"/>
    <w:rsid w:val="00354588"/>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D1CFB"/>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79C7"/>
    <w:rsid w:val="00A1687D"/>
    <w:rsid w:val="00A43E52"/>
    <w:rsid w:val="00A4678D"/>
    <w:rsid w:val="00A778C7"/>
    <w:rsid w:val="00AB441E"/>
    <w:rsid w:val="00AB6293"/>
    <w:rsid w:val="00AE0928"/>
    <w:rsid w:val="00AE4083"/>
    <w:rsid w:val="00AF3B82"/>
    <w:rsid w:val="00B12E95"/>
    <w:rsid w:val="00B22876"/>
    <w:rsid w:val="00B558F0"/>
    <w:rsid w:val="00B74220"/>
    <w:rsid w:val="00BD48FE"/>
    <w:rsid w:val="00BD7BD8"/>
    <w:rsid w:val="00BE6ADC"/>
    <w:rsid w:val="00C05BFE"/>
    <w:rsid w:val="00C23CD4"/>
    <w:rsid w:val="00C61C0C"/>
    <w:rsid w:val="00C7298A"/>
    <w:rsid w:val="00C941CB"/>
    <w:rsid w:val="00CC2357"/>
    <w:rsid w:val="00CF071A"/>
    <w:rsid w:val="00D058B8"/>
    <w:rsid w:val="00D56C11"/>
    <w:rsid w:val="00D834A0"/>
    <w:rsid w:val="00D84E8B"/>
    <w:rsid w:val="00D872DF"/>
    <w:rsid w:val="00D91E21"/>
    <w:rsid w:val="00DA7FCD"/>
    <w:rsid w:val="00E365E1"/>
    <w:rsid w:val="00E820A4"/>
    <w:rsid w:val="00EB006A"/>
    <w:rsid w:val="00EB0510"/>
    <w:rsid w:val="00EB4772"/>
    <w:rsid w:val="00ED169E"/>
    <w:rsid w:val="00ED20E6"/>
    <w:rsid w:val="00ED4235"/>
    <w:rsid w:val="00F04346"/>
    <w:rsid w:val="00F075DC"/>
    <w:rsid w:val="00F149E9"/>
    <w:rsid w:val="00F1783B"/>
    <w:rsid w:val="00F2076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D26961"/>
  <w15:chartTrackingRefBased/>
  <w15:docId w15:val="{B05473CA-4F1E-4E16-91CC-1D2394D34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02A55"/>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202A55"/>
    <w:pPr>
      <w:keepNext/>
      <w:spacing w:after="480"/>
      <w:jc w:val="center"/>
    </w:pPr>
    <w:rPr>
      <w:rFonts w:ascii="Arial" w:hAnsi="Arial" w:cs="Arial"/>
      <w:b/>
    </w:rPr>
  </w:style>
  <w:style w:type="paragraph" w:customStyle="1" w:styleId="NormalHanging12a">
    <w:name w:val="NormalHanging12a"/>
    <w:basedOn w:val="Normal"/>
    <w:link w:val="NormalHanging12aChar"/>
    <w:rsid w:val="00202A55"/>
    <w:pPr>
      <w:spacing w:after="240"/>
      <w:ind w:left="567" w:hanging="567"/>
    </w:pPr>
  </w:style>
  <w:style w:type="paragraph" w:styleId="Header">
    <w:name w:val="header"/>
    <w:basedOn w:val="Normal"/>
    <w:link w:val="HeaderChar"/>
    <w:rsid w:val="00202A55"/>
    <w:pPr>
      <w:tabs>
        <w:tab w:val="center" w:pos="4513"/>
        <w:tab w:val="right" w:pos="9026"/>
      </w:tabs>
    </w:pPr>
  </w:style>
  <w:style w:type="character" w:customStyle="1" w:styleId="HeaderChar">
    <w:name w:val="Header Char"/>
    <w:basedOn w:val="DefaultParagraphFont"/>
    <w:link w:val="Header"/>
    <w:rsid w:val="00202A55"/>
    <w:rPr>
      <w:sz w:val="24"/>
      <w:lang w:val="fi-FI"/>
    </w:rPr>
  </w:style>
  <w:style w:type="paragraph" w:customStyle="1" w:styleId="EPFooter">
    <w:name w:val="EPFooter"/>
    <w:basedOn w:val="Normal"/>
    <w:rsid w:val="00202A55"/>
    <w:pPr>
      <w:tabs>
        <w:tab w:val="center" w:pos="4535"/>
        <w:tab w:val="right" w:pos="9071"/>
      </w:tabs>
      <w:spacing w:before="240" w:after="240"/>
    </w:pPr>
    <w:rPr>
      <w:color w:val="010000"/>
      <w:sz w:val="22"/>
    </w:rPr>
  </w:style>
  <w:style w:type="paragraph" w:customStyle="1" w:styleId="EPComma">
    <w:name w:val="EPComma"/>
    <w:basedOn w:val="Normal"/>
    <w:rsid w:val="00202A55"/>
    <w:pPr>
      <w:spacing w:before="480" w:after="240"/>
    </w:pPr>
  </w:style>
  <w:style w:type="character" w:styleId="Hyperlink">
    <w:name w:val="Hyperlink"/>
    <w:basedOn w:val="DefaultParagraphFont"/>
    <w:rsid w:val="00202A55"/>
    <w:rPr>
      <w:color w:val="0563C1" w:themeColor="hyperlink"/>
      <w:u w:val="single"/>
    </w:rPr>
  </w:style>
  <w:style w:type="character" w:customStyle="1" w:styleId="NormalHanging12aChar">
    <w:name w:val="NormalHanging12a Char"/>
    <w:basedOn w:val="DefaultParagraphFont"/>
    <w:link w:val="NormalHanging12a"/>
    <w:locked/>
    <w:rsid w:val="00202A55"/>
    <w:rPr>
      <w:sz w:val="24"/>
      <w:lang w:val="fi-FI"/>
    </w:rPr>
  </w:style>
  <w:style w:type="character" w:customStyle="1" w:styleId="PageHeadingChar">
    <w:name w:val="PageHeading Char"/>
    <w:basedOn w:val="DefaultParagraphFont"/>
    <w:link w:val="PageHeading"/>
    <w:rsid w:val="00202A55"/>
    <w:rPr>
      <w:rFonts w:ascii="Arial" w:hAnsi="Arial" w:cs="Arial"/>
      <w:b/>
      <w:sz w:val="24"/>
      <w:lang w:val="fi-FI"/>
    </w:rPr>
  </w:style>
  <w:style w:type="paragraph" w:styleId="Footer">
    <w:name w:val="footer"/>
    <w:basedOn w:val="Normal"/>
    <w:link w:val="FooterChar"/>
    <w:rsid w:val="006D1CFB"/>
    <w:pPr>
      <w:tabs>
        <w:tab w:val="center" w:pos="4513"/>
        <w:tab w:val="right" w:pos="9026"/>
      </w:tabs>
    </w:pPr>
  </w:style>
  <w:style w:type="character" w:customStyle="1" w:styleId="FooterChar">
    <w:name w:val="Footer Char"/>
    <w:basedOn w:val="DefaultParagraphFont"/>
    <w:link w:val="Footer"/>
    <w:rsid w:val="006D1CFB"/>
    <w:rPr>
      <w:sz w:val="24"/>
      <w:lang w:val="fi-FI"/>
    </w:rPr>
  </w:style>
  <w:style w:type="paragraph" w:styleId="Revision">
    <w:name w:val="Revision"/>
    <w:hidden/>
    <w:uiPriority w:val="99"/>
    <w:semiHidden/>
    <w:rsid w:val="00EB0510"/>
    <w:rPr>
      <w:sz w:val="24"/>
      <w:lang w:val="fi-FI"/>
    </w:rPr>
  </w:style>
  <w:style w:type="character" w:styleId="CommentReference">
    <w:name w:val="annotation reference"/>
    <w:basedOn w:val="DefaultParagraphFont"/>
    <w:rsid w:val="00EB0510"/>
    <w:rPr>
      <w:sz w:val="16"/>
      <w:szCs w:val="16"/>
    </w:rPr>
  </w:style>
  <w:style w:type="paragraph" w:styleId="CommentText">
    <w:name w:val="annotation text"/>
    <w:basedOn w:val="Normal"/>
    <w:link w:val="CommentTextChar"/>
    <w:rsid w:val="00EB0510"/>
    <w:rPr>
      <w:sz w:val="20"/>
    </w:rPr>
  </w:style>
  <w:style w:type="character" w:customStyle="1" w:styleId="CommentTextChar">
    <w:name w:val="Comment Text Char"/>
    <w:basedOn w:val="DefaultParagraphFont"/>
    <w:link w:val="CommentText"/>
    <w:rsid w:val="00EB0510"/>
    <w:rPr>
      <w:lang w:val="fi-FI"/>
    </w:rPr>
  </w:style>
  <w:style w:type="paragraph" w:styleId="CommentSubject">
    <w:name w:val="annotation subject"/>
    <w:basedOn w:val="CommentText"/>
    <w:next w:val="CommentText"/>
    <w:link w:val="CommentSubjectChar"/>
    <w:rsid w:val="00EB0510"/>
    <w:rPr>
      <w:b/>
      <w:bCs/>
    </w:rPr>
  </w:style>
  <w:style w:type="character" w:customStyle="1" w:styleId="CommentSubjectChar">
    <w:name w:val="Comment Subject Char"/>
    <w:basedOn w:val="CommentTextChar"/>
    <w:link w:val="CommentSubject"/>
    <w:rsid w:val="00EB0510"/>
    <w:rPr>
      <w:b/>
      <w:bCs/>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1133</Words>
  <Characters>9605</Characters>
  <Application>Microsoft Office Word</Application>
  <DocSecurity>0</DocSecurity>
  <Lines>240</Lines>
  <Paragraphs>102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KINNUNEN Hannele</cp:lastModifiedBy>
  <cp:revision>2</cp:revision>
  <cp:lastPrinted>2004-11-19T15:42:00Z</cp:lastPrinted>
  <dcterms:created xsi:type="dcterms:W3CDTF">2026-05-12T09:35:00Z</dcterms:created>
  <dcterms:modified xsi:type="dcterms:W3CDTF">2026-05-12T09:35:00Z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P10_TA(2026)0103_</vt:lpwstr>
  </property>
  <property fmtid="{D5CDD505-2E9C-101B-9397-08002B2CF9AE}" pid="4" name="&lt;Type&gt;">
    <vt:lpwstr>RR</vt:lpwstr>
  </property>
</Properties>
</file>