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4909" w14:paraId="1CDFAE54" w14:textId="77777777" w:rsidTr="0010095E">
        <w:trPr>
          <w:trHeight w:hRule="exact" w:val="1418"/>
        </w:trPr>
        <w:tc>
          <w:tcPr>
            <w:tcW w:w="6804" w:type="dxa"/>
            <w:shd w:val="clear" w:color="auto" w:fill="auto"/>
            <w:vAlign w:val="center"/>
          </w:tcPr>
          <w:p w14:paraId="47D5648B" w14:textId="77777777" w:rsidR="00751A4A" w:rsidRPr="006E4909" w:rsidRDefault="00A6778B" w:rsidP="0010095E">
            <w:pPr>
              <w:pStyle w:val="EPName"/>
            </w:pPr>
            <w:r w:rsidRPr="006E4909">
              <w:t>Europski parlament</w:t>
            </w:r>
          </w:p>
          <w:p w14:paraId="607F0D59" w14:textId="77777777" w:rsidR="00751A4A" w:rsidRPr="006E4909" w:rsidRDefault="005F1B17" w:rsidP="005F1B17">
            <w:pPr>
              <w:pStyle w:val="EPTerm"/>
              <w:rPr>
                <w:rStyle w:val="HideTWBExt"/>
                <w:noProof w:val="0"/>
                <w:vanish w:val="0"/>
                <w:color w:val="auto"/>
              </w:rPr>
            </w:pPr>
            <w:r w:rsidRPr="006E4909">
              <w:t>2024</w:t>
            </w:r>
            <w:r w:rsidR="00817416" w:rsidRPr="006E4909">
              <w:t>-202</w:t>
            </w:r>
            <w:r w:rsidRPr="006E4909">
              <w:t>9</w:t>
            </w:r>
          </w:p>
        </w:tc>
        <w:tc>
          <w:tcPr>
            <w:tcW w:w="2268" w:type="dxa"/>
            <w:shd w:val="clear" w:color="auto" w:fill="auto"/>
          </w:tcPr>
          <w:p w14:paraId="052FFBE8" w14:textId="77777777" w:rsidR="00751A4A" w:rsidRPr="006E4909" w:rsidRDefault="00187494" w:rsidP="0010095E">
            <w:pPr>
              <w:pStyle w:val="EPLogo"/>
            </w:pPr>
            <w:r w:rsidRPr="006E4909">
              <w:rPr>
                <w:noProof/>
                <w:lang w:eastAsia="ja-JP"/>
              </w:rPr>
              <w:drawing>
                <wp:inline distT="0" distB="0" distL="0" distR="0" wp14:anchorId="4764A837" wp14:editId="7B9624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2F8516" w14:textId="77777777" w:rsidR="00D058B8" w:rsidRPr="006E4909" w:rsidRDefault="00D058B8" w:rsidP="004C5D52">
      <w:pPr>
        <w:pStyle w:val="LineTop"/>
      </w:pPr>
    </w:p>
    <w:p w14:paraId="56117C26" w14:textId="77777777" w:rsidR="00680577" w:rsidRPr="006E4909" w:rsidRDefault="00A6778B" w:rsidP="00680577">
      <w:pPr>
        <w:pStyle w:val="EPBodyTA1"/>
      </w:pPr>
      <w:r w:rsidRPr="006E4909">
        <w:t>USVOJENI TEKSTOVI</w:t>
      </w:r>
    </w:p>
    <w:p w14:paraId="77D4B1DE" w14:textId="77777777" w:rsidR="00D058B8" w:rsidRPr="006E4909" w:rsidRDefault="00D058B8" w:rsidP="00D058B8">
      <w:pPr>
        <w:pStyle w:val="LineBottom"/>
      </w:pPr>
    </w:p>
    <w:p w14:paraId="35B8795A" w14:textId="5C30E58C" w:rsidR="00A6778B" w:rsidRPr="006E4909" w:rsidRDefault="00A6778B" w:rsidP="00A6778B">
      <w:pPr>
        <w:pStyle w:val="ATHeading1"/>
      </w:pPr>
      <w:bookmarkStart w:id="0" w:name="TANumber"/>
      <w:r w:rsidRPr="006E4909">
        <w:t>P10_TA(2026)0</w:t>
      </w:r>
      <w:r w:rsidR="000C3A2D">
        <w:t>103</w:t>
      </w:r>
      <w:bookmarkEnd w:id="0"/>
    </w:p>
    <w:p w14:paraId="01143429" w14:textId="5132A614" w:rsidR="00A6778B" w:rsidRPr="006E4909" w:rsidRDefault="009324F0" w:rsidP="00A6778B">
      <w:pPr>
        <w:pStyle w:val="ATHeading2"/>
      </w:pPr>
      <w:bookmarkStart w:id="1" w:name="title"/>
      <w:r>
        <w:t>M</w:t>
      </w:r>
      <w:r w:rsidRPr="009324F0">
        <w:t>obilizacij</w:t>
      </w:r>
      <w:r>
        <w:t>a</w:t>
      </w:r>
      <w:r w:rsidRPr="009324F0">
        <w:t xml:space="preserve"> Europskog fonda za prilagodbu globalizaciji za radnike koji su proglašeni viškom</w:t>
      </w:r>
      <w:r>
        <w:t xml:space="preserve">: </w:t>
      </w:r>
      <w:r w:rsidRPr="009324F0">
        <w:t>zahtjev</w:t>
      </w:r>
      <w:r>
        <w:t xml:space="preserve"> </w:t>
      </w:r>
      <w:r w:rsidRPr="009324F0">
        <w:t xml:space="preserve">EGF/2025/005 AT/KTM </w:t>
      </w:r>
      <w:r w:rsidRPr="000C3A2D">
        <w:t>-</w:t>
      </w:r>
      <w:r w:rsidRPr="009324F0">
        <w:t xml:space="preserve"> Austrij</w:t>
      </w:r>
      <w:r>
        <w:t>a</w:t>
      </w:r>
      <w:bookmarkEnd w:id="1"/>
    </w:p>
    <w:p w14:paraId="7F21C0CA" w14:textId="77777777" w:rsidR="00A6778B" w:rsidRPr="006E4909" w:rsidRDefault="00A6778B" w:rsidP="00A6778B">
      <w:pPr>
        <w:rPr>
          <w:i/>
          <w:vanish/>
        </w:rPr>
      </w:pPr>
      <w:r w:rsidRPr="006E4909">
        <w:rPr>
          <w:i/>
        </w:rPr>
        <w:fldChar w:fldCharType="begin"/>
      </w:r>
      <w:r w:rsidRPr="006E4909">
        <w:rPr>
          <w:i/>
        </w:rPr>
        <w:instrText xml:space="preserve"> TC"(</w:instrText>
      </w:r>
      <w:bookmarkStart w:id="2" w:name="DocNumber"/>
      <w:r w:rsidRPr="006E4909">
        <w:rPr>
          <w:i/>
        </w:rPr>
        <w:instrText>A10-0060/2026</w:instrText>
      </w:r>
      <w:bookmarkEnd w:id="2"/>
      <w:r w:rsidRPr="006E4909">
        <w:rPr>
          <w:i/>
        </w:rPr>
        <w:instrText xml:space="preserve"> - Izvjestitelj: Janusz Lewandowski )"\l3 \n&gt; \* MERGEFORMAT </w:instrText>
      </w:r>
      <w:r w:rsidRPr="006E4909">
        <w:rPr>
          <w:i/>
        </w:rPr>
        <w:fldChar w:fldCharType="end"/>
      </w:r>
    </w:p>
    <w:p w14:paraId="4CEDF28E" w14:textId="77777777" w:rsidR="00A6778B" w:rsidRPr="006E4909" w:rsidRDefault="00A6778B" w:rsidP="00A6778B">
      <w:pPr>
        <w:rPr>
          <w:vanish/>
        </w:rPr>
      </w:pPr>
      <w:bookmarkStart w:id="3" w:name="Commission"/>
      <w:r w:rsidRPr="006E4909">
        <w:rPr>
          <w:vanish/>
        </w:rPr>
        <w:t>Odbor za proračune</w:t>
      </w:r>
      <w:bookmarkEnd w:id="3"/>
    </w:p>
    <w:p w14:paraId="5F7F09A0" w14:textId="77777777" w:rsidR="00A6778B" w:rsidRPr="006E4909" w:rsidRDefault="00A6778B" w:rsidP="00A6778B">
      <w:pPr>
        <w:rPr>
          <w:vanish/>
        </w:rPr>
      </w:pPr>
      <w:bookmarkStart w:id="4" w:name="PE"/>
      <w:r w:rsidRPr="006E4909">
        <w:rPr>
          <w:vanish/>
        </w:rPr>
        <w:t>PE784.472</w:t>
      </w:r>
      <w:bookmarkEnd w:id="4"/>
    </w:p>
    <w:p w14:paraId="27A12960" w14:textId="4FCBF6AF" w:rsidR="00A6778B" w:rsidRPr="006E4909" w:rsidRDefault="00A6778B" w:rsidP="00A6778B">
      <w:pPr>
        <w:pStyle w:val="ATHeading3"/>
      </w:pPr>
      <w:bookmarkStart w:id="5" w:name="Sujet"/>
      <w:r w:rsidRPr="006E4909">
        <w:t xml:space="preserve">Rezolucija Europskog parlamenta od </w:t>
      </w:r>
      <w:r w:rsidR="000E360D">
        <w:t>26. ožujka</w:t>
      </w:r>
      <w:r w:rsidRPr="006E4909">
        <w:t xml:space="preserve"> 2026. o Prijedlogu odluke Europskog parlamenta i Vijeća o mobilizaciji Europskog fonda za prilagodbu globalizaciji za radnike koji su proglašeni viškom na temelju zahtjeva Austrije – EGF/2025/005 AT/KTM</w:t>
      </w:r>
      <w:bookmarkEnd w:id="5"/>
      <w:r w:rsidRPr="006E4909">
        <w:t xml:space="preserve"> </w:t>
      </w:r>
      <w:bookmarkStart w:id="6" w:name="References"/>
      <w:r w:rsidRPr="006E4909">
        <w:t>(COM(2026)0010 – C10-0026/2026 – 2026/0037(BUD))</w:t>
      </w:r>
      <w:bookmarkEnd w:id="6"/>
    </w:p>
    <w:p w14:paraId="09AFC677" w14:textId="77777777" w:rsidR="00D23114" w:rsidRPr="006E4909" w:rsidRDefault="00D23114" w:rsidP="00D23114">
      <w:pPr>
        <w:pStyle w:val="EPComma"/>
        <w:rPr>
          <w:noProof/>
        </w:rPr>
      </w:pPr>
      <w:r w:rsidRPr="006E4909">
        <w:rPr>
          <w:i/>
        </w:rPr>
        <w:t>Europski parlament,</w:t>
      </w:r>
    </w:p>
    <w:p w14:paraId="375D6686" w14:textId="77777777" w:rsidR="00D23114" w:rsidRPr="006E4909" w:rsidRDefault="00D23114" w:rsidP="00D23114">
      <w:pPr>
        <w:pStyle w:val="NormalHanging12a"/>
        <w:rPr>
          <w:noProof/>
        </w:rPr>
      </w:pPr>
      <w:r w:rsidRPr="006E4909">
        <w:t>–</w:t>
      </w:r>
      <w:r w:rsidRPr="006E4909">
        <w:tab/>
        <w:t>uzimajući u obzir prijedlog Komisije upućen Europskom parlamentu i Vijeću (COM(2026)0010 – C10</w:t>
      </w:r>
      <w:r w:rsidRPr="006E4909">
        <w:noBreakHyphen/>
        <w:t>0026/2026),</w:t>
      </w:r>
    </w:p>
    <w:p w14:paraId="1532EB5D" w14:textId="77777777" w:rsidR="00D23114" w:rsidRPr="006E4909" w:rsidRDefault="00D23114" w:rsidP="00D23114">
      <w:pPr>
        <w:pStyle w:val="NormalHanging12a"/>
        <w:rPr>
          <w:noProof/>
        </w:rPr>
      </w:pPr>
      <w:r w:rsidRPr="006E4909">
        <w:t>–</w:t>
      </w:r>
      <w:r w:rsidRPr="006E4909">
        <w:tab/>
        <w:t>uzimajući u obzir Uredbu (EU) 2021/691 Europskog parlamenta i Vijeća od 28. travnja 2021. o Europskom fondu za prilagodbu globalizaciji za radnike koji su proglašeni viškom (EGF) i stavljanju izvan snage Uredbe (EU) br. 1309/2013</w:t>
      </w:r>
      <w:r w:rsidRPr="006E4909">
        <w:rPr>
          <w:noProof/>
          <w:vertAlign w:val="superscript"/>
        </w:rPr>
        <w:footnoteReference w:id="1"/>
      </w:r>
      <w:r w:rsidRPr="006E4909">
        <w:t xml:space="preserve"> („Uredba o EGF-u”), </w:t>
      </w:r>
    </w:p>
    <w:p w14:paraId="5D7C099A" w14:textId="77777777" w:rsidR="00D23114" w:rsidRPr="006E4909" w:rsidRDefault="00D23114" w:rsidP="00D23114">
      <w:pPr>
        <w:pStyle w:val="NormalHanging12a"/>
        <w:rPr>
          <w:noProof/>
        </w:rPr>
      </w:pPr>
      <w:r w:rsidRPr="006E4909">
        <w:t>–</w:t>
      </w:r>
      <w:r w:rsidRPr="006E4909">
        <w:tab/>
        <w:t>uzimajući u obzir Uredbu Vijeća (EU, Euratom) 2020/2093 od 17. prosinca 2020. kojom se utvrđuje višegodišnji financijski okvir za razdoblje 2021. – 2027.</w:t>
      </w:r>
      <w:r w:rsidRPr="006E4909">
        <w:rPr>
          <w:noProof/>
          <w:vertAlign w:val="superscript"/>
        </w:rPr>
        <w:footnoteReference w:id="2"/>
      </w:r>
      <w:r w:rsidRPr="006E4909">
        <w:t>, kako je izmijenjena Uredbom (EU, Euratom) 2024/765</w:t>
      </w:r>
      <w:r w:rsidRPr="006E4909">
        <w:rPr>
          <w:noProof/>
          <w:vertAlign w:val="superscript"/>
        </w:rPr>
        <w:footnoteReference w:id="3"/>
      </w:r>
      <w:r w:rsidRPr="006E4909">
        <w:t xml:space="preserve"> („Uredba o VFO-u”), a posebno njezin članak 8., </w:t>
      </w:r>
    </w:p>
    <w:p w14:paraId="7A894956" w14:textId="77777777" w:rsidR="00D23114" w:rsidRPr="006E4909" w:rsidRDefault="00D23114" w:rsidP="00D23114">
      <w:pPr>
        <w:pStyle w:val="NormalHanging12a"/>
        <w:rPr>
          <w:noProof/>
        </w:rPr>
      </w:pPr>
      <w:r w:rsidRPr="006E4909">
        <w:t>–</w:t>
      </w:r>
      <w:r w:rsidRPr="006E4909">
        <w:tab/>
        <w:t xml:space="preserve">uzimajući u obzir </w:t>
      </w:r>
      <w:proofErr w:type="spellStart"/>
      <w:r w:rsidRPr="006E4909">
        <w:t>Međuinstitucijski</w:t>
      </w:r>
      <w:proofErr w:type="spellEnd"/>
      <w:r w:rsidRPr="006E4909">
        <w:t xml:space="preserve">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6E4909">
        <w:rPr>
          <w:noProof/>
          <w:vertAlign w:val="superscript"/>
        </w:rPr>
        <w:footnoteReference w:id="4"/>
      </w:r>
      <w:r w:rsidRPr="006E4909">
        <w:t xml:space="preserve">, a posebno </w:t>
      </w:r>
      <w:r w:rsidRPr="006E4909">
        <w:lastRenderedPageBreak/>
        <w:t>njegovu točku 9.,</w:t>
      </w:r>
    </w:p>
    <w:p w14:paraId="7FCF53C3" w14:textId="77777777" w:rsidR="00D23114" w:rsidRPr="006E4909" w:rsidRDefault="00D23114" w:rsidP="00D23114">
      <w:pPr>
        <w:pStyle w:val="NormalHanging12a"/>
        <w:rPr>
          <w:noProof/>
        </w:rPr>
      </w:pPr>
      <w:r w:rsidRPr="006E4909">
        <w:t>–</w:t>
      </w:r>
      <w:r w:rsidRPr="006E4909">
        <w:tab/>
        <w:t>uzimajući u obzir europski stup socijalnih prava,</w:t>
      </w:r>
    </w:p>
    <w:p w14:paraId="4FCD52DB" w14:textId="77777777" w:rsidR="00D23114" w:rsidRPr="006E4909" w:rsidRDefault="00D23114" w:rsidP="00D23114">
      <w:pPr>
        <w:pStyle w:val="NormalHanging12a"/>
        <w:rPr>
          <w:noProof/>
        </w:rPr>
      </w:pPr>
      <w:r w:rsidRPr="006E4909">
        <w:t>–</w:t>
      </w:r>
      <w:r w:rsidRPr="006E4909">
        <w:tab/>
        <w:t>uzimajući u obzir mišljenje Odbora za zapošljavanje i socijalna pitanja,</w:t>
      </w:r>
    </w:p>
    <w:p w14:paraId="12F06E82" w14:textId="77777777" w:rsidR="00D23114" w:rsidRPr="006E4909" w:rsidRDefault="00D23114" w:rsidP="00D23114">
      <w:pPr>
        <w:pStyle w:val="NormalHanging12a"/>
        <w:rPr>
          <w:noProof/>
        </w:rPr>
      </w:pPr>
      <w:r w:rsidRPr="006E4909">
        <w:t>–</w:t>
      </w:r>
      <w:r w:rsidRPr="006E4909">
        <w:tab/>
        <w:t>uzimajući u obzir izvješće Odbora za proračune (A10-0060/2026),</w:t>
      </w:r>
    </w:p>
    <w:p w14:paraId="2CCC27A0" w14:textId="77777777" w:rsidR="00D23114" w:rsidRPr="006E4909" w:rsidRDefault="00D23114" w:rsidP="00D23114">
      <w:pPr>
        <w:pStyle w:val="NormalHanging12a"/>
        <w:rPr>
          <w:noProof/>
        </w:rPr>
      </w:pPr>
      <w:r w:rsidRPr="006E4909">
        <w:t>A.</w:t>
      </w:r>
      <w:r w:rsidRPr="006E4909">
        <w:tab/>
        <w:t>budući da je Unija uspostavila zakonodavne i proračunske instrumente kako bi pružila dodatnu potporu radnicima koji su pogođeni posljedicama velikih strukturnih događaja i promjena u svjetskim trgovinskim tokovima te kako bi im se pružila pomoć prilikom njihova ponovnog uključivanja na tržište rada; budući da se ta pomoć ostvaruje u obliku financijske potpore radnicima;</w:t>
      </w:r>
    </w:p>
    <w:p w14:paraId="2F18FA05" w14:textId="77777777" w:rsidR="00D23114" w:rsidRPr="006E4909" w:rsidRDefault="00D23114" w:rsidP="00D23114">
      <w:pPr>
        <w:pStyle w:val="NormalHanging12a"/>
        <w:rPr>
          <w:noProof/>
        </w:rPr>
      </w:pPr>
      <w:r w:rsidRPr="006E4909">
        <w:t>B.</w:t>
      </w:r>
      <w:r w:rsidRPr="006E4909">
        <w:tab/>
        <w:t>budući da je Austrija podnijela zahtjev EGF/2025/005 AT/KTM za financijski doprinos iz EGF-a nakon što je 1488 radnika</w:t>
      </w:r>
      <w:r w:rsidRPr="006E4909">
        <w:rPr>
          <w:noProof/>
          <w:vertAlign w:val="superscript"/>
        </w:rPr>
        <w:footnoteReference w:id="5"/>
      </w:r>
      <w:r w:rsidRPr="006E4909">
        <w:t xml:space="preserve"> u poduzeću KTM </w:t>
      </w:r>
      <w:proofErr w:type="spellStart"/>
      <w:r w:rsidRPr="006E4909">
        <w:t>Gruppe</w:t>
      </w:r>
      <w:proofErr w:type="spellEnd"/>
      <w:r w:rsidRPr="006E4909">
        <w:t xml:space="preserve"> (KTM) proglašeno viškom u gospodarskom sektoru razvrstanom u odjeljak 30. NACE-a </w:t>
      </w:r>
      <w:proofErr w:type="spellStart"/>
      <w:r w:rsidRPr="006E4909">
        <w:t>Rev</w:t>
      </w:r>
      <w:proofErr w:type="spellEnd"/>
      <w:r w:rsidRPr="006E4909">
        <w:t xml:space="preserve">. 2 (Proizvodnja ostalih prijevoznih sredstava) u regiji Gornjoj Austriji (AT31), pri čemu su 233 radnika proglašena viškom u referentnom razdoblju od 25. veljače 2025. do 25. lipnja 2025., a 1255 radnika prije ili nakon referentnog razdoblja; </w:t>
      </w:r>
    </w:p>
    <w:p w14:paraId="6C3C63EF" w14:textId="77777777" w:rsidR="00D23114" w:rsidRPr="006E4909" w:rsidRDefault="00D23114" w:rsidP="00D23114">
      <w:pPr>
        <w:pStyle w:val="NormalHanging12a"/>
        <w:rPr>
          <w:noProof/>
        </w:rPr>
      </w:pPr>
      <w:r w:rsidRPr="006E4909">
        <w:t>C.</w:t>
      </w:r>
      <w:r w:rsidRPr="006E4909">
        <w:tab/>
        <w:t>budući da se zahtjev temelji na intervencijskim kriterijima iz članka 4. stavka 2. točke (a) Uredbe o EGF-u, kojima se propisuje da je potrebno da u referentnom razdoblju od četiri mjeseca najmanje 200 radnika ili samozaposlenih osoba koji su proglašeni viškom u nekom poduzeću u državi članici prestane obavljati svoju djelatnost; budući da se za 1255 radnika koji su proglašeni viškom i čija je djelatnost prestala prije ili nakon referentnog razdoblja od četiri mjeseca može utvrditi jasna uzročno-posljedična veza s događajem koji je prouzročio otpuštanja tijekom referentnog razdoblja, kako je propisano člankom 6. stavkom 2. Uredbe o EGF-u;</w:t>
      </w:r>
    </w:p>
    <w:p w14:paraId="63D2CB06" w14:textId="77777777" w:rsidR="00D23114" w:rsidRPr="006E4909" w:rsidRDefault="00D23114" w:rsidP="00D23114">
      <w:pPr>
        <w:pStyle w:val="NormalHanging12a"/>
        <w:rPr>
          <w:noProof/>
        </w:rPr>
      </w:pPr>
      <w:r w:rsidRPr="006E4909">
        <w:t>D.</w:t>
      </w:r>
      <w:r w:rsidRPr="006E4909">
        <w:tab/>
        <w:t>budući da je KTM 29. studenoga 2024. podnio zahtjev za proglašenje nesolventnosti i da je 25. veljače 2025. odobren plan restrukturiranja; budući da određene odluke tog poduzeća o raspodjeli dividendi 2021. i 2024. uz korištenje javne državne potpore tijekom pandemije bolesti COVID-19 izazivaju zabrinutost;</w:t>
      </w:r>
    </w:p>
    <w:p w14:paraId="28C3811E" w14:textId="77777777" w:rsidR="00D23114" w:rsidRPr="006E4909" w:rsidRDefault="00D23114" w:rsidP="00D23114">
      <w:pPr>
        <w:pStyle w:val="NormalHanging12a"/>
        <w:rPr>
          <w:noProof/>
        </w:rPr>
      </w:pPr>
      <w:r w:rsidRPr="006E4909">
        <w:t>E.</w:t>
      </w:r>
      <w:r w:rsidRPr="006E4909">
        <w:tab/>
        <w:t xml:space="preserve">budući da je Austrija navela da javna služba za zapošljavanje u Gornjoj Austriji i pokrajina Gornja Austrija osiguravanju nacionalno </w:t>
      </w:r>
      <w:proofErr w:type="spellStart"/>
      <w:r w:rsidRPr="006E4909">
        <w:t>pretfinanciranje</w:t>
      </w:r>
      <w:proofErr w:type="spellEnd"/>
      <w:r w:rsidRPr="006E4909">
        <w:t xml:space="preserve"> i sufinanciranje mjera;</w:t>
      </w:r>
    </w:p>
    <w:p w14:paraId="6F3D30DD" w14:textId="77777777" w:rsidR="00D23114" w:rsidRPr="006E4909" w:rsidRDefault="00D23114" w:rsidP="00D23114">
      <w:pPr>
        <w:pStyle w:val="NormalHanging12a"/>
        <w:rPr>
          <w:noProof/>
        </w:rPr>
      </w:pPr>
      <w:r w:rsidRPr="006E4909">
        <w:t>F.</w:t>
      </w:r>
      <w:r w:rsidRPr="006E4909">
        <w:tab/>
        <w:t>budući da su ispunjeni zahtjevi utvrđeni zakonodavstvom Unije i nacionalnim zakonodavstvom o kolektivnom otpuštanju;</w:t>
      </w:r>
    </w:p>
    <w:p w14:paraId="19888DBE" w14:textId="77777777" w:rsidR="00D23114" w:rsidRPr="006E4909" w:rsidRDefault="00D23114" w:rsidP="00D23114">
      <w:pPr>
        <w:pStyle w:val="NormalHanging12a"/>
        <w:rPr>
          <w:noProof/>
        </w:rPr>
      </w:pPr>
      <w:r w:rsidRPr="006E4909">
        <w:t>G.</w:t>
      </w:r>
      <w:r w:rsidRPr="006E4909">
        <w:tab/>
        <w:t>budući da bi financijski doprinos iz EGF-a ponajprije trebao biti usmjeren na aktivne mjere politike tržišta rada i personalizirane usluge čiji je cilj brza reintegracija korisnika na tržište rada, pri čemu im je potrebno osigurati osposobljavanje radi stjecanja vještina kako bi im se olakšalo pristupanje budućim potrebama na tržištu rada te kako bi ih se pripremilo na zelenu i digitalnu tranziciju;</w:t>
      </w:r>
    </w:p>
    <w:p w14:paraId="26B26474" w14:textId="77777777" w:rsidR="00D23114" w:rsidRPr="006E4909" w:rsidRDefault="00D23114" w:rsidP="00D23114">
      <w:pPr>
        <w:pStyle w:val="NormalHanging12a"/>
        <w:rPr>
          <w:noProof/>
        </w:rPr>
      </w:pPr>
      <w:r w:rsidRPr="006E4909">
        <w:t>H.</w:t>
      </w:r>
      <w:r w:rsidRPr="006E4909">
        <w:tab/>
        <w:t xml:space="preserve">budući da EGF ne smije premašiti najviši dopušteni godišnji iznos od 30 milijuna EUR </w:t>
      </w:r>
      <w:r w:rsidRPr="006E4909">
        <w:lastRenderedPageBreak/>
        <w:t>(u cijenama iz 2018.)</w:t>
      </w:r>
      <w:r w:rsidRPr="006E4909">
        <w:rPr>
          <w:noProof/>
          <w:vertAlign w:val="superscript"/>
        </w:rPr>
        <w:footnoteReference w:id="6"/>
      </w:r>
      <w:r w:rsidRPr="006E4909">
        <w:t>;</w:t>
      </w:r>
    </w:p>
    <w:p w14:paraId="24C472FC" w14:textId="77777777" w:rsidR="00D23114" w:rsidRPr="006E4909" w:rsidRDefault="00D23114" w:rsidP="00D23114">
      <w:pPr>
        <w:pStyle w:val="NormalHanging12a"/>
        <w:rPr>
          <w:bCs/>
          <w:iCs/>
          <w:noProof/>
        </w:rPr>
      </w:pPr>
      <w:r w:rsidRPr="006E4909">
        <w:t>I.</w:t>
      </w:r>
      <w:r w:rsidRPr="006E4909">
        <w:tab/>
        <w:t>budući da nedavna premještanja proizvodnih aktivnosti izvan Unije naglašavaju potrebu za jačanjem konkurentnosti i otpornosti europske industrije na globalnom tržištu;</w:t>
      </w:r>
    </w:p>
    <w:p w14:paraId="7148D442" w14:textId="77777777" w:rsidR="00D23114" w:rsidRPr="006E4909" w:rsidRDefault="00D23114" w:rsidP="00D23114">
      <w:pPr>
        <w:pStyle w:val="NormalHanging12a"/>
        <w:rPr>
          <w:noProof/>
        </w:rPr>
      </w:pPr>
      <w:r w:rsidRPr="006E4909">
        <w:t>1.</w:t>
      </w:r>
      <w:r w:rsidRPr="006E4909">
        <w:tab/>
        <w:t>slaže se s Komisijom da su uvjeti iz Uredbe o EGF-u, a posebno oni iz njezina članka 4. stavka 2. točke (a), ispunjeni i da Austrija u skladu s tom Uredbom ima pravo na financijski doprinos u iznosu od 1 806 624 EUR, odnosno 60 % ukupnog troška od 3 011 040 EUR, što obuhvaća troškove za personalizirane usluge u iznosu od 2 895 120 EUR i troškove za aktivnosti pripreme, upravljanja, informiranja i promidžbe te kontrole i izvješćivanja u iznosu od 115 920 EUR;</w:t>
      </w:r>
    </w:p>
    <w:p w14:paraId="1203E509" w14:textId="57A16810" w:rsidR="00D23114" w:rsidRPr="006E4909" w:rsidRDefault="00D23114" w:rsidP="00D23114">
      <w:pPr>
        <w:pStyle w:val="NormalHanging12a"/>
        <w:rPr>
          <w:noProof/>
        </w:rPr>
      </w:pPr>
      <w:r w:rsidRPr="006E4909">
        <w:t>2.</w:t>
      </w:r>
      <w:r w:rsidRPr="006E4909">
        <w:tab/>
      </w:r>
      <w:r w:rsidR="008E5B4A">
        <w:t>primjećuje</w:t>
      </w:r>
      <w:r w:rsidR="006A57C2" w:rsidRPr="006E4909">
        <w:t xml:space="preserve"> </w:t>
      </w:r>
      <w:r w:rsidRPr="006E4909">
        <w:t xml:space="preserve">da su austrijske vlasti zahtjev podnijele 15. rujna 2025. te da je, na temelju dodatnih informacija koje je Austrija pružila, Komisija ocjenjivanje zahtjeva dovršila 6. veljače 2026. i o tome 11. veljače 2026. obavijestila Parlament; naglašava da je važno skratiti vrijeme između podnošenja zahtjeva za pomoć iz EGF-a i odluke o financiranju uz istodobnu punu zaštitu prava Europskog parlamenta kao jedne grane proračunskog tijela; </w:t>
      </w:r>
    </w:p>
    <w:p w14:paraId="3A7643E4" w14:textId="77777777" w:rsidR="00D23114" w:rsidRPr="006E4909" w:rsidRDefault="00D23114" w:rsidP="00D23114">
      <w:pPr>
        <w:pStyle w:val="NormalHanging12a"/>
        <w:rPr>
          <w:noProof/>
        </w:rPr>
      </w:pPr>
      <w:r w:rsidRPr="006E4909">
        <w:t>3.</w:t>
      </w:r>
      <w:r w:rsidRPr="006E4909">
        <w:tab/>
        <w:t>napominje da se zahtjev odnosi na 1488 radnika zahvaćenih postupkom u slučaju insolventnosti KTM-a, koji je najveći dosad u Gornjoj Austriji; konstatira, nadalje, da će ukupno 420 radnika koji su proglašeni viškom biti ciljani korisnici te se očekuje da će sudjelovati u mjerama;</w:t>
      </w:r>
    </w:p>
    <w:p w14:paraId="66174F74" w14:textId="77777777" w:rsidR="00D23114" w:rsidRPr="006E4909" w:rsidRDefault="00D23114" w:rsidP="00D23114">
      <w:pPr>
        <w:pStyle w:val="NormalHanging12a"/>
        <w:rPr>
          <w:noProof/>
        </w:rPr>
      </w:pPr>
      <w:r w:rsidRPr="006E4909">
        <w:t>4.</w:t>
      </w:r>
      <w:r w:rsidRPr="006E4909">
        <w:tab/>
        <w:t xml:space="preserve">napominje da je KTM bio najveći proizvođač motocikala u Uniji i najveće društvo kći društva </w:t>
      </w:r>
      <w:proofErr w:type="spellStart"/>
      <w:r w:rsidRPr="006E4909">
        <w:t>Pierer</w:t>
      </w:r>
      <w:proofErr w:type="spellEnd"/>
      <w:r w:rsidRPr="006E4909">
        <w:t xml:space="preserve"> </w:t>
      </w:r>
      <w:proofErr w:type="spellStart"/>
      <w:r w:rsidRPr="006E4909">
        <w:t>Mobility</w:t>
      </w:r>
      <w:proofErr w:type="spellEnd"/>
      <w:r w:rsidRPr="006E4909">
        <w:t xml:space="preserve"> AG; žali zbog toga što je matično društvo u prosincu 2023. odlučilo premjestiti proizvodnju u Kinu i Indiju zbog nepoštenih uvjeta tržišnog natjecanja; napominje da je to dovelo do početnog ukidanja 300 radnih mjesta i da su naknadni gubici u prodaji potaknuli KTM da uvede mjere za smanjenje troškova, uključujući otpuštanja više od 500 zaposlenika tijekom 2024.;</w:t>
      </w:r>
    </w:p>
    <w:p w14:paraId="274FF5E0" w14:textId="77777777" w:rsidR="00D23114" w:rsidRPr="006E4909" w:rsidRDefault="00D23114" w:rsidP="00D23114">
      <w:pPr>
        <w:pStyle w:val="NormalHanging12a"/>
        <w:rPr>
          <w:noProof/>
        </w:rPr>
      </w:pPr>
      <w:r w:rsidRPr="006E4909">
        <w:t>5.</w:t>
      </w:r>
      <w:r w:rsidRPr="006E4909">
        <w:tab/>
        <w:t>napominje da je matično društvo moralo započeti postupak restrukturiranja i da je tijekom prvog zatvaranja proizvodnje KTM-a 2025. otpušteno više od 750 dodatnih zaposlenika; konstatira da je ulagač Bajaj Auto International Holdings B.V. dana 22. svibnja 2025. osigurao potrebna sredstva kako bi se osigurao nastavak poslovanja KTM-a, čime je izbjegnut stečaj KTM-a i omogućen nastavak proizvodnje u srpnju 2025., uz istodobno ograničavanje potrošnje;</w:t>
      </w:r>
    </w:p>
    <w:p w14:paraId="419858F5" w14:textId="77777777" w:rsidR="00D23114" w:rsidRPr="006E4909" w:rsidRDefault="00D23114" w:rsidP="00D23114">
      <w:pPr>
        <w:pStyle w:val="NormalHanging12a"/>
        <w:rPr>
          <w:noProof/>
        </w:rPr>
      </w:pPr>
      <w:r w:rsidRPr="006E4909">
        <w:t>6.</w:t>
      </w:r>
      <w:r w:rsidRPr="006E4909">
        <w:tab/>
        <w:t xml:space="preserve">napominje da je KTM nekoć bio jedna od najuspješnijih marki motocikala u Europi, važan poslodavac i ključni gospodarski stup mnogih dobavljača u okrugu </w:t>
      </w:r>
      <w:proofErr w:type="spellStart"/>
      <w:r w:rsidRPr="006E4909">
        <w:t>Braunau</w:t>
      </w:r>
      <w:proofErr w:type="spellEnd"/>
      <w:r w:rsidRPr="006E4909">
        <w:t xml:space="preserve"> u Gornjoj Austriji; napominje da je kao posljedica toga nezaposlenost u tom okrugu u studenome 2024. porasla za 37,1 % u odnosu na isti mjesec prethodne godine; konstatira da je nezaposlenost u okrugu </w:t>
      </w:r>
      <w:proofErr w:type="spellStart"/>
      <w:r w:rsidRPr="006E4909">
        <w:t>Braunau</w:t>
      </w:r>
      <w:proofErr w:type="spellEnd"/>
      <w:r w:rsidRPr="006E4909">
        <w:t xml:space="preserve"> 2025. dosegnula rekordnu razinu; </w:t>
      </w:r>
    </w:p>
    <w:p w14:paraId="0C998CE4" w14:textId="77777777" w:rsidR="00D23114" w:rsidRPr="006E4909" w:rsidRDefault="00D23114" w:rsidP="00D23114">
      <w:pPr>
        <w:pStyle w:val="NormalHanging12a"/>
        <w:rPr>
          <w:noProof/>
        </w:rPr>
      </w:pPr>
      <w:r w:rsidRPr="006E4909">
        <w:t>7.</w:t>
      </w:r>
      <w:r w:rsidRPr="006E4909">
        <w:tab/>
        <w:t xml:space="preserve">podsjeća na to da se, u dogovoru sa socijalnim partnerima, personalizirane usluge koje će se pružati radnicima sastoje od sljedećih mjera: vođenja predmeta; profesionalnog usmjeravanja; osposobljavanja i prekvalifikacije; proaktivnog traženja zaposlenja; naknada za osposobljavanje; ističe važnost poticanja visokokvalitetnih radnih mjesta usmjerenih na budućnost kako bi se osigurala dugoročna gospodarska i socijalna otpornost; naglašava važnost bliske suradnje s regionalnim poduzećima i poslodavcima </w:t>
      </w:r>
      <w:r w:rsidRPr="006E4909">
        <w:lastRenderedPageBreak/>
        <w:t>kako bi se osiguralo da programi osposobljavanja i prekvalifikacije odgovaraju konkretnim potrebama tržišta rada i olakšavaju brzu reintegraciju radnika koji su proglašeni viškom;</w:t>
      </w:r>
    </w:p>
    <w:p w14:paraId="79BED127" w14:textId="77777777" w:rsidR="00D23114" w:rsidRPr="006E4909" w:rsidRDefault="00D23114" w:rsidP="00D23114">
      <w:pPr>
        <w:pStyle w:val="NormalHanging12a"/>
        <w:rPr>
          <w:bCs/>
          <w:iCs/>
          <w:noProof/>
        </w:rPr>
      </w:pPr>
      <w:r w:rsidRPr="006E4909">
        <w:t>8.</w:t>
      </w:r>
      <w:r w:rsidRPr="006E4909">
        <w:tab/>
        <w:t>podsjeća da je EGF instrument solidarnosti i pravedne tranzicije te da, iako pruža potporu nakon gubitka radnih mjesta, ne može zamijeniti proaktivnu industrijsku politiku; naglašava da primarna zadaća Unije mora biti sprečavanje takvih zatvaranja, prije svega stvaranjem uvjeta da bi industrijska proizvodnja ostala konkurentna, uz istodobno ulaganje u vještine i za visokokvalificirane i za industrijske radnike; naglašava da je potrebno pružiti posebnu potporu prilagođenu profilima radnika s niskim razinama obrazovanja, uz istodobno poduzimanje mjera za smanjenje stečajeva i rješavanje socijalnih nejednakosti koje dovode do isključenosti iz radne snage;</w:t>
      </w:r>
    </w:p>
    <w:p w14:paraId="286ACC91" w14:textId="77777777" w:rsidR="00D23114" w:rsidRPr="006E4909" w:rsidRDefault="00D23114" w:rsidP="00D23114">
      <w:pPr>
        <w:pStyle w:val="NormalHanging12a"/>
        <w:rPr>
          <w:bCs/>
          <w:iCs/>
          <w:noProof/>
        </w:rPr>
      </w:pPr>
      <w:r w:rsidRPr="006E4909">
        <w:t>9.</w:t>
      </w:r>
      <w:r w:rsidRPr="006E4909">
        <w:tab/>
        <w:t>naglašava da austrijske vlasti moraju osigurati vidljivost financiranja Unije i istaknuti njegovu dodanu vrijednost pružanjem učinkovitih i ciljanih informacija korisnicima, regionalnim i lokalnim vlastima, socijalnim partnerima i široj javnosti;</w:t>
      </w:r>
    </w:p>
    <w:p w14:paraId="243692D8" w14:textId="77777777" w:rsidR="00D23114" w:rsidRPr="006E4909" w:rsidRDefault="00D23114" w:rsidP="00D23114">
      <w:pPr>
        <w:pStyle w:val="NormalHanging12a"/>
        <w:rPr>
          <w:noProof/>
        </w:rPr>
      </w:pPr>
      <w:r w:rsidRPr="006E4909">
        <w:t>10.</w:t>
      </w:r>
      <w:r w:rsidRPr="006E4909">
        <w:tab/>
        <w:t>poziva na temeljitu završnu evaluaciju provedenih mjera, uključujući jasne informacije o tome kako su sredstva iskorištena i jesu li potrošena u skladu s odobrenim planovima;</w:t>
      </w:r>
    </w:p>
    <w:p w14:paraId="5CAC3CD6" w14:textId="662204A7" w:rsidR="00D23114" w:rsidRPr="006E4909" w:rsidRDefault="00D23114" w:rsidP="00D23114">
      <w:pPr>
        <w:pStyle w:val="NormalHanging12a"/>
        <w:rPr>
          <w:noProof/>
        </w:rPr>
      </w:pPr>
      <w:r w:rsidRPr="006E4909">
        <w:t>11.</w:t>
      </w:r>
      <w:r w:rsidRPr="006E4909">
        <w:tab/>
      </w:r>
      <w:r w:rsidR="008E5B4A">
        <w:t>primjećuje</w:t>
      </w:r>
      <w:r w:rsidRPr="006E4909">
        <w:t xml:space="preserve"> da je Austrija 1. ožujka 2025. ciljanim korisnicima počela pružati i personalizirane usluge i snositi administrativne izdatke provedbe EGF-a i da će stoga razdoblje prihvatljivosti za financijski doprinos iz EGF-a trajati od tog datuma do datuma koji nastupi 24 mjeseca, odnosno 31 mjesec nakon stupanja na snagu odluke o financiranju;</w:t>
      </w:r>
    </w:p>
    <w:p w14:paraId="56A6CBD0" w14:textId="77777777" w:rsidR="00D23114" w:rsidRPr="006E4909" w:rsidRDefault="00D23114" w:rsidP="00D23114">
      <w:pPr>
        <w:pStyle w:val="NormalHanging12a"/>
        <w:rPr>
          <w:noProof/>
        </w:rPr>
      </w:pPr>
      <w:r w:rsidRPr="006E4909">
        <w:t>12.</w:t>
      </w:r>
      <w:r w:rsidRPr="006E4909">
        <w:tab/>
        <w:t>napominje da su austrijske vlasti pružile jamstvo da će se u pristupu predloženim mjerama i u njihovoj provedbi poštovati načela jednakog postupanja i nediskriminacije te da će se spriječiti svako dvostruko financiranje;</w:t>
      </w:r>
    </w:p>
    <w:p w14:paraId="57E5BDE2" w14:textId="77777777" w:rsidR="00D23114" w:rsidRPr="006E4909" w:rsidRDefault="00D23114" w:rsidP="00D23114">
      <w:pPr>
        <w:pStyle w:val="NormalHanging12a"/>
        <w:rPr>
          <w:noProof/>
        </w:rPr>
      </w:pPr>
      <w:r w:rsidRPr="006E4909">
        <w:t>13.</w:t>
      </w:r>
      <w:r w:rsidRPr="006E4909">
        <w:tab/>
        <w:t>ponovno ističe da pomoć iz EGF-a ne smije zamijeniti mjere za koje su prema nacionalnom pravu ili kolektivnim ugovorima odgovorna poduzeća;</w:t>
      </w:r>
    </w:p>
    <w:p w14:paraId="23B26058" w14:textId="77777777" w:rsidR="00D23114" w:rsidRPr="006E4909" w:rsidRDefault="00D23114" w:rsidP="00D23114">
      <w:pPr>
        <w:pStyle w:val="NormalHanging12a"/>
        <w:rPr>
          <w:noProof/>
        </w:rPr>
      </w:pPr>
      <w:r w:rsidRPr="006E4909">
        <w:t>14.</w:t>
      </w:r>
      <w:r w:rsidRPr="006E4909">
        <w:tab/>
        <w:t>odobrava Odluku priloženu ovoj Rezoluciji;</w:t>
      </w:r>
    </w:p>
    <w:p w14:paraId="0D26D043" w14:textId="77777777" w:rsidR="00D23114" w:rsidRPr="006E4909" w:rsidRDefault="00D23114" w:rsidP="00D23114">
      <w:pPr>
        <w:pStyle w:val="NormalHanging12a"/>
        <w:rPr>
          <w:noProof/>
        </w:rPr>
      </w:pPr>
      <w:r w:rsidRPr="006E4909">
        <w:t>15.</w:t>
      </w:r>
      <w:r w:rsidRPr="006E4909">
        <w:tab/>
        <w:t xml:space="preserve">nalaže svojoj predsjednici da potpiše ovu Odluku zajedno s predsjednikom Vijeća te da je da na objavu u </w:t>
      </w:r>
      <w:r w:rsidRPr="006E4909">
        <w:rPr>
          <w:i/>
          <w:iCs/>
        </w:rPr>
        <w:t>Službenom listu Europske unije</w:t>
      </w:r>
      <w:r w:rsidRPr="006E4909">
        <w:t>;</w:t>
      </w:r>
    </w:p>
    <w:p w14:paraId="251047F9" w14:textId="77777777" w:rsidR="00D23114" w:rsidRPr="006E4909" w:rsidRDefault="00D23114" w:rsidP="00D23114">
      <w:pPr>
        <w:pStyle w:val="NormalHanging12a"/>
        <w:rPr>
          <w:noProof/>
        </w:rPr>
      </w:pPr>
      <w:r w:rsidRPr="006E4909">
        <w:t>16.</w:t>
      </w:r>
      <w:r w:rsidRPr="006E4909">
        <w:tab/>
        <w:t>nalaže svojoj predsjednici da ovu Rezoluciju, zajedno s njezinim prilogom, proslijedi Vijeću i Komisiji.</w:t>
      </w:r>
    </w:p>
    <w:p w14:paraId="7CA5E6AF" w14:textId="77777777" w:rsidR="00D23114" w:rsidRPr="006E4909" w:rsidRDefault="00D23114" w:rsidP="00D23114">
      <w:pPr>
        <w:rPr>
          <w:noProof/>
        </w:rPr>
      </w:pPr>
    </w:p>
    <w:p w14:paraId="038FAF81" w14:textId="77777777" w:rsidR="00D23114" w:rsidRPr="006E4909" w:rsidRDefault="00D23114" w:rsidP="00D23114">
      <w:pPr>
        <w:rPr>
          <w:noProof/>
        </w:rPr>
      </w:pPr>
    </w:p>
    <w:p w14:paraId="3A4C98F1" w14:textId="77777777" w:rsidR="00D23114" w:rsidRPr="006E4909" w:rsidRDefault="00D23114" w:rsidP="00D23114">
      <w:pPr>
        <w:pStyle w:val="PageHeading"/>
        <w:rPr>
          <w:noProof/>
        </w:rPr>
        <w:sectPr w:rsidR="00D23114" w:rsidRPr="006E4909" w:rsidSect="006E490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1E34AF" w14:textId="77777777" w:rsidR="00F1438B" w:rsidRPr="00F1438B" w:rsidRDefault="00D23114" w:rsidP="00D23114">
      <w:pPr>
        <w:pStyle w:val="PageHeading"/>
        <w:rPr>
          <w:rFonts w:ascii="Times New Roman" w:hAnsi="Times New Roman" w:cs="Times New Roman"/>
        </w:rPr>
      </w:pPr>
      <w:bookmarkStart w:id="7" w:name="_Toc224734831"/>
      <w:r w:rsidRPr="00F1438B">
        <w:rPr>
          <w:rFonts w:ascii="Times New Roman" w:hAnsi="Times New Roman" w:cs="Times New Roman"/>
        </w:rPr>
        <w:lastRenderedPageBreak/>
        <w:t>PRILOG</w:t>
      </w:r>
    </w:p>
    <w:p w14:paraId="27942E6B" w14:textId="7FC90DAA" w:rsidR="00D23114" w:rsidRPr="00F1438B" w:rsidRDefault="00D23114" w:rsidP="00D23114">
      <w:pPr>
        <w:pStyle w:val="PageHeading"/>
        <w:rPr>
          <w:rFonts w:ascii="Times New Roman" w:hAnsi="Times New Roman" w:cs="Times New Roman"/>
          <w:noProof/>
        </w:rPr>
      </w:pPr>
      <w:r w:rsidRPr="00F1438B">
        <w:rPr>
          <w:rFonts w:ascii="Times New Roman" w:hAnsi="Times New Roman" w:cs="Times New Roman"/>
        </w:rPr>
        <w:t>ODLUKA EUROPSKOG PARLAMENTA I VIJEĆA</w:t>
      </w:r>
      <w:bookmarkEnd w:id="7"/>
    </w:p>
    <w:p w14:paraId="7AC582AE" w14:textId="77777777" w:rsidR="00D23114" w:rsidRDefault="00D23114" w:rsidP="00D23114">
      <w:pPr>
        <w:pStyle w:val="NormalHanging12a"/>
        <w:rPr>
          <w:b/>
        </w:rPr>
      </w:pPr>
      <w:bookmarkStart w:id="8" w:name="_Hlk212804276"/>
      <w:bookmarkStart w:id="9" w:name="_Hlk212804598"/>
      <w:r w:rsidRPr="006E4909">
        <w:rPr>
          <w:b/>
        </w:rPr>
        <w:t>o mobilizaciji Europskog fonda za prilagodbu globalizaciji za radnike koji su proglašeni viškom na temelju zahtjeva Austrije – EGF/2025/005 AT/KTM</w:t>
      </w:r>
    </w:p>
    <w:p w14:paraId="1D88DDF6" w14:textId="11DB8B9A" w:rsidR="00F1438B" w:rsidRDefault="00F1438B" w:rsidP="00F1438B">
      <w:pPr>
        <w:rPr>
          <w:i/>
        </w:rPr>
      </w:pPr>
      <w:r>
        <w:rPr>
          <w:i/>
        </w:rPr>
        <w:t xml:space="preserve">(Tekst ovog priloga nije naveden ovdje budući da odgovara konačnom aktu, Odluci </w:t>
      </w:r>
      <w:r w:rsidRPr="001C52EA">
        <w:rPr>
          <w:i/>
        </w:rPr>
        <w:t>(EU) 2026/85</w:t>
      </w:r>
      <w:r>
        <w:rPr>
          <w:i/>
        </w:rPr>
        <w:t>0</w:t>
      </w:r>
      <w:r w:rsidRPr="001C52EA">
        <w:rPr>
          <w:i/>
        </w:rPr>
        <w:t>.)</w:t>
      </w:r>
    </w:p>
    <w:p w14:paraId="560B01E4" w14:textId="77777777" w:rsidR="00F1438B" w:rsidRPr="006E4909" w:rsidRDefault="00F1438B" w:rsidP="00D23114">
      <w:pPr>
        <w:pStyle w:val="NormalHanging12a"/>
        <w:rPr>
          <w:b/>
          <w:bCs/>
        </w:rPr>
      </w:pPr>
    </w:p>
    <w:bookmarkEnd w:id="8"/>
    <w:bookmarkEnd w:id="9"/>
    <w:sectPr w:rsidR="00F1438B" w:rsidRPr="006E4909" w:rsidSect="006E490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44CB6" w14:textId="77777777" w:rsidR="00A6778B" w:rsidRPr="006E4909" w:rsidRDefault="00A6778B">
      <w:r w:rsidRPr="006E4909">
        <w:separator/>
      </w:r>
    </w:p>
  </w:endnote>
  <w:endnote w:type="continuationSeparator" w:id="0">
    <w:p w14:paraId="5783EF16" w14:textId="77777777" w:rsidR="00A6778B" w:rsidRPr="006E4909" w:rsidRDefault="00A6778B">
      <w:r w:rsidRPr="006E49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1AD4" w14:textId="77777777" w:rsidR="00D23114" w:rsidRPr="006E4909" w:rsidRDefault="00D23114" w:rsidP="001A3F2E">
    <w:pPr>
      <w:pStyle w:val="EPFooter"/>
    </w:pPr>
    <w:r w:rsidRPr="006E4909">
      <w:t>PE</w:t>
    </w:r>
    <w:r w:rsidRPr="006E4909">
      <w:rPr>
        <w:rStyle w:val="HideTWBExt"/>
      </w:rPr>
      <w:t>&lt;NoPE&gt;</w:t>
    </w:r>
    <w:r w:rsidRPr="006E4909">
      <w:t>784.472</w:t>
    </w:r>
    <w:r w:rsidRPr="006E4909">
      <w:rPr>
        <w:rStyle w:val="HideTWBExt"/>
      </w:rPr>
      <w:t>&lt;/NoPE&gt;&lt;Version&gt;</w:t>
    </w:r>
    <w:r w:rsidRPr="006E4909">
      <w:t>v02-00</w:t>
    </w:r>
    <w:r w:rsidRPr="006E4909">
      <w:rPr>
        <w:rStyle w:val="HideTWBExt"/>
      </w:rPr>
      <w:t>&lt;/Version&gt;</w:t>
    </w:r>
    <w:r w:rsidRPr="006E4909">
      <w:tab/>
    </w:r>
    <w:r w:rsidRPr="006E4909">
      <w:fldChar w:fldCharType="begin"/>
    </w:r>
    <w:r w:rsidRPr="006E4909">
      <w:instrText xml:space="preserve"> PAGE  \* MERGEFORMAT </w:instrText>
    </w:r>
    <w:r w:rsidRPr="006E4909">
      <w:fldChar w:fldCharType="separate"/>
    </w:r>
    <w:r w:rsidRPr="006E4909">
      <w:rPr>
        <w:noProof/>
      </w:rPr>
      <w:t>16</w:t>
    </w:r>
    <w:r w:rsidRPr="006E4909">
      <w:fldChar w:fldCharType="end"/>
    </w:r>
    <w:r w:rsidRPr="006E4909">
      <w:t>/</w:t>
    </w:r>
    <w:fldSimple w:instr=" NUMPAGES  \* MERGEFORMAT ">
      <w:r w:rsidRPr="006E4909">
        <w:rPr>
          <w:noProof/>
        </w:rPr>
        <w:t>17</w:t>
      </w:r>
    </w:fldSimple>
    <w:r w:rsidRPr="006E4909">
      <w:tab/>
    </w:r>
    <w:r w:rsidRPr="006E4909">
      <w:rPr>
        <w:rStyle w:val="HideTWBExt"/>
      </w:rPr>
      <w:t>&lt;PathFdR&gt;</w:t>
    </w:r>
    <w:r w:rsidRPr="006E4909">
      <w:t>RR\1339711HR.docx</w:t>
    </w:r>
    <w:r w:rsidRPr="006E4909">
      <w:rPr>
        <w:rStyle w:val="HideTWBExt"/>
      </w:rPr>
      <w:t>&lt;/PathFdR&gt;</w:t>
    </w:r>
  </w:p>
  <w:p w14:paraId="7032F2BB" w14:textId="77777777" w:rsidR="00D23114" w:rsidRPr="006E4909" w:rsidRDefault="00D23114" w:rsidP="001A3F2E">
    <w:pPr>
      <w:pStyle w:val="EPFooter2"/>
    </w:pPr>
    <w:r w:rsidRPr="006E4909">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5085" w14:textId="77777777" w:rsidR="00D23114" w:rsidRPr="006E4909" w:rsidRDefault="00D23114" w:rsidP="001A3F2E">
    <w:pPr>
      <w:pStyle w:val="EPFooter"/>
    </w:pPr>
    <w:r w:rsidRPr="006E4909">
      <w:rPr>
        <w:rStyle w:val="HideTWBExt"/>
      </w:rPr>
      <w:t>&lt;PathFdR&gt;</w:t>
    </w:r>
    <w:r w:rsidRPr="006E4909">
      <w:t>RR\1339711HR.docx</w:t>
    </w:r>
    <w:r w:rsidRPr="006E4909">
      <w:rPr>
        <w:rStyle w:val="HideTWBExt"/>
      </w:rPr>
      <w:t>&lt;/PathFdR&gt;</w:t>
    </w:r>
    <w:r w:rsidRPr="006E4909">
      <w:tab/>
    </w:r>
    <w:r w:rsidRPr="006E4909">
      <w:tab/>
      <w:t>PE</w:t>
    </w:r>
    <w:r w:rsidRPr="006E4909">
      <w:rPr>
        <w:rStyle w:val="HideTWBExt"/>
      </w:rPr>
      <w:t>&lt;NoPE&gt;</w:t>
    </w:r>
    <w:r w:rsidRPr="006E4909">
      <w:t>784.472</w:t>
    </w:r>
    <w:r w:rsidRPr="006E4909">
      <w:rPr>
        <w:rStyle w:val="HideTWBExt"/>
      </w:rPr>
      <w:t>&lt;/NoPE&gt;&lt;Version&gt;</w:t>
    </w:r>
    <w:r w:rsidRPr="006E4909">
      <w:t>v02-00</w:t>
    </w:r>
    <w:r w:rsidRPr="006E4909">
      <w:rPr>
        <w:rStyle w:val="HideTWBExt"/>
      </w:rPr>
      <w:t>&lt;/Version&gt;</w:t>
    </w:r>
  </w:p>
  <w:p w14:paraId="6A4FF839" w14:textId="77777777" w:rsidR="00D23114" w:rsidRPr="006E4909" w:rsidRDefault="00D23114" w:rsidP="001A3F2E">
    <w:pPr>
      <w:pStyle w:val="EPFooter2"/>
    </w:pPr>
    <w:r w:rsidRPr="006E4909">
      <w:t>HR</w:t>
    </w:r>
    <w:r w:rsidRPr="006E4909">
      <w:tab/>
    </w:r>
    <w:r w:rsidRPr="006E4909">
      <w:rPr>
        <w:b w:val="0"/>
        <w:i/>
        <w:color w:val="C0C0C0"/>
        <w:sz w:val="22"/>
      </w:rPr>
      <w:t>Ujedinjena u raznolikosti</w:t>
    </w:r>
    <w:r w:rsidRPr="006E4909">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CADE" w14:textId="77777777" w:rsidR="00064002" w:rsidRPr="006E490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8552" w14:textId="77777777" w:rsidR="00064002" w:rsidRPr="006E490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D631C" w14:textId="77777777" w:rsidR="00064002" w:rsidRPr="006E49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3906B" w14:textId="77777777" w:rsidR="00A6778B" w:rsidRPr="006E4909" w:rsidRDefault="00A6778B">
      <w:r w:rsidRPr="006E4909">
        <w:separator/>
      </w:r>
    </w:p>
  </w:footnote>
  <w:footnote w:type="continuationSeparator" w:id="0">
    <w:p w14:paraId="0062928D" w14:textId="77777777" w:rsidR="00A6778B" w:rsidRPr="006E4909" w:rsidRDefault="00A6778B">
      <w:r w:rsidRPr="006E4909">
        <w:continuationSeparator/>
      </w:r>
    </w:p>
  </w:footnote>
  <w:footnote w:id="1">
    <w:p w14:paraId="306EFD1C" w14:textId="20E80DBF" w:rsidR="00D23114" w:rsidRPr="006E4909" w:rsidRDefault="00D23114" w:rsidP="006E4909">
      <w:pPr>
        <w:pStyle w:val="FootnoteText"/>
        <w:ind w:left="567" w:hanging="567"/>
        <w:rPr>
          <w:sz w:val="24"/>
          <w:lang w:val="hr-HR"/>
        </w:rPr>
      </w:pPr>
      <w:r w:rsidRPr="006E4909">
        <w:rPr>
          <w:rStyle w:val="FootnoteReference"/>
          <w:sz w:val="24"/>
          <w:lang w:val="hr-HR"/>
        </w:rPr>
        <w:footnoteRef/>
      </w:r>
      <w:r w:rsidR="006E4909" w:rsidRPr="006E4909">
        <w:rPr>
          <w:sz w:val="24"/>
          <w:lang w:val="hr-HR"/>
        </w:rPr>
        <w:t xml:space="preserve"> </w:t>
      </w:r>
      <w:r w:rsidR="006E4909" w:rsidRPr="006E4909">
        <w:rPr>
          <w:sz w:val="24"/>
          <w:lang w:val="hr-HR"/>
        </w:rPr>
        <w:tab/>
      </w:r>
      <w:r w:rsidRPr="006E4909">
        <w:rPr>
          <w:sz w:val="24"/>
          <w:lang w:val="hr-HR"/>
        </w:rPr>
        <w:t xml:space="preserve">SL L 153, 3.5.2021., str. 48., ELI: </w:t>
      </w:r>
      <w:hyperlink r:id="rId1" w:history="1">
        <w:r w:rsidRPr="006E4909">
          <w:rPr>
            <w:rStyle w:val="Hyperlink"/>
            <w:sz w:val="24"/>
            <w:lang w:val="hr-HR"/>
          </w:rPr>
          <w:t>http://data.europa.eu/eli/reg/2021/691/oj</w:t>
        </w:r>
      </w:hyperlink>
      <w:r w:rsidRPr="006E4909">
        <w:rPr>
          <w:sz w:val="24"/>
          <w:lang w:val="hr-HR"/>
        </w:rPr>
        <w:t>.</w:t>
      </w:r>
    </w:p>
  </w:footnote>
  <w:footnote w:id="2">
    <w:p w14:paraId="2CF0F5E9" w14:textId="775B811E" w:rsidR="00D23114" w:rsidRPr="006E4909" w:rsidRDefault="00D23114" w:rsidP="006E4909">
      <w:pPr>
        <w:pStyle w:val="FootnoteText"/>
        <w:ind w:left="567" w:hanging="567"/>
        <w:rPr>
          <w:sz w:val="24"/>
          <w:lang w:val="hr-HR"/>
        </w:rPr>
      </w:pPr>
      <w:r w:rsidRPr="006E4909">
        <w:rPr>
          <w:rStyle w:val="FootnoteReference"/>
          <w:sz w:val="24"/>
          <w:lang w:val="hr-HR"/>
        </w:rPr>
        <w:footnoteRef/>
      </w:r>
      <w:r w:rsidR="006E4909" w:rsidRPr="006E4909">
        <w:rPr>
          <w:sz w:val="24"/>
          <w:lang w:val="hr-HR"/>
        </w:rPr>
        <w:t xml:space="preserve"> </w:t>
      </w:r>
      <w:r w:rsidR="006E4909" w:rsidRPr="006E4909">
        <w:rPr>
          <w:sz w:val="24"/>
          <w:lang w:val="hr-HR"/>
        </w:rPr>
        <w:tab/>
      </w:r>
      <w:r w:rsidRPr="006E4909">
        <w:rPr>
          <w:sz w:val="24"/>
          <w:lang w:val="hr-HR"/>
        </w:rPr>
        <w:t xml:space="preserve">SL L 433 I, 22.12.2020., str. 11., ELI: </w:t>
      </w:r>
      <w:r>
        <w:fldChar w:fldCharType="begin"/>
      </w:r>
      <w:r w:rsidRPr="00F1438B">
        <w:rPr>
          <w:lang w:val="hr-HR"/>
        </w:rPr>
        <w:instrText>HYPERLINK "http://data.europa.eu/eli/reg/2020/2093/oj"</w:instrText>
      </w:r>
      <w:r>
        <w:fldChar w:fldCharType="separate"/>
      </w:r>
      <w:r w:rsidRPr="006E4909">
        <w:rPr>
          <w:rStyle w:val="Hyperlink"/>
          <w:sz w:val="24"/>
          <w:lang w:val="hr-HR"/>
        </w:rPr>
        <w:t>http://data.europa.eu/eli/reg/2020/2093/oj</w:t>
      </w:r>
      <w:r>
        <w:fldChar w:fldCharType="end"/>
      </w:r>
      <w:r w:rsidRPr="006E4909">
        <w:rPr>
          <w:sz w:val="24"/>
          <w:lang w:val="hr-HR"/>
        </w:rPr>
        <w:t>.</w:t>
      </w:r>
    </w:p>
  </w:footnote>
  <w:footnote w:id="3">
    <w:p w14:paraId="3316C436" w14:textId="0A72B028" w:rsidR="00D23114" w:rsidRPr="006E4909" w:rsidRDefault="00D23114" w:rsidP="006E4909">
      <w:pPr>
        <w:pStyle w:val="FootnoteText"/>
        <w:ind w:left="567" w:hanging="567"/>
        <w:rPr>
          <w:sz w:val="24"/>
          <w:lang w:val="hr-HR"/>
        </w:rPr>
      </w:pPr>
      <w:r w:rsidRPr="006E4909">
        <w:rPr>
          <w:rStyle w:val="FootnoteReference"/>
          <w:sz w:val="24"/>
          <w:lang w:val="hr-HR"/>
        </w:rPr>
        <w:footnoteRef/>
      </w:r>
      <w:r w:rsidR="006E4909" w:rsidRPr="006E4909">
        <w:rPr>
          <w:sz w:val="24"/>
          <w:shd w:val="clear" w:color="auto" w:fill="FFFFFF"/>
          <w:lang w:val="hr-HR"/>
        </w:rPr>
        <w:t xml:space="preserve"> </w:t>
      </w:r>
      <w:r w:rsidR="006E4909" w:rsidRPr="006E4909">
        <w:rPr>
          <w:sz w:val="24"/>
          <w:shd w:val="clear" w:color="auto" w:fill="FFFFFF"/>
          <w:lang w:val="hr-HR"/>
        </w:rPr>
        <w:tab/>
      </w:r>
      <w:r w:rsidRPr="006E4909">
        <w:rPr>
          <w:sz w:val="24"/>
          <w:shd w:val="clear" w:color="auto" w:fill="FFFFFF"/>
          <w:lang w:val="hr-HR"/>
        </w:rPr>
        <w:t xml:space="preserve">Uredba Vijeća (EU, Euratom) 2024/765 od 29. veljače 2024. o izmjeni Uredbe (EU, Euratom) 2020/2093 kojom se utvrđuje višegodišnji financijski okvir za razdoblje 2021. – 2027. (SL L, 2024/765, 29.2.2024., ELI: </w:t>
      </w:r>
      <w:r>
        <w:fldChar w:fldCharType="begin"/>
      </w:r>
      <w:r w:rsidRPr="00F1438B">
        <w:rPr>
          <w:lang w:val="fi-FI"/>
        </w:rPr>
        <w:instrText>HYPERLINK "http://data.europa.eu/eli/reg/2024/765/oj"</w:instrText>
      </w:r>
      <w:r>
        <w:fldChar w:fldCharType="separate"/>
      </w:r>
      <w:r w:rsidRPr="006E4909">
        <w:rPr>
          <w:rStyle w:val="Hyperlink"/>
          <w:sz w:val="24"/>
          <w:shd w:val="clear" w:color="auto" w:fill="FFFFFF"/>
          <w:lang w:val="hr-HR"/>
        </w:rPr>
        <w:t>http://data.europa.eu/eli/reg/2024/765/oj</w:t>
      </w:r>
      <w:r>
        <w:fldChar w:fldCharType="end"/>
      </w:r>
      <w:r w:rsidRPr="006E4909">
        <w:rPr>
          <w:sz w:val="24"/>
          <w:shd w:val="clear" w:color="auto" w:fill="FFFFFF"/>
          <w:lang w:val="hr-HR"/>
        </w:rPr>
        <w:t>)</w:t>
      </w:r>
      <w:r w:rsidRPr="006E4909">
        <w:rPr>
          <w:i/>
          <w:sz w:val="24"/>
          <w:shd w:val="clear" w:color="auto" w:fill="FFFFFF"/>
          <w:lang w:val="hr-HR"/>
        </w:rPr>
        <w:t>.</w:t>
      </w:r>
    </w:p>
  </w:footnote>
  <w:footnote w:id="4">
    <w:p w14:paraId="0B7219EC" w14:textId="6600E6C0" w:rsidR="00D23114" w:rsidRPr="006E4909" w:rsidRDefault="00D23114" w:rsidP="006E4909">
      <w:pPr>
        <w:pStyle w:val="FootnoteText"/>
        <w:ind w:left="567" w:hanging="567"/>
        <w:rPr>
          <w:sz w:val="24"/>
          <w:lang w:val="hr-HR"/>
        </w:rPr>
      </w:pPr>
      <w:r w:rsidRPr="006E4909">
        <w:rPr>
          <w:rStyle w:val="FootnoteReference"/>
          <w:sz w:val="24"/>
          <w:lang w:val="hr-HR"/>
        </w:rPr>
        <w:footnoteRef/>
      </w:r>
      <w:r w:rsidR="006E4909" w:rsidRPr="006E4909">
        <w:rPr>
          <w:sz w:val="24"/>
          <w:lang w:val="hr-HR"/>
        </w:rPr>
        <w:t xml:space="preserve"> </w:t>
      </w:r>
      <w:r w:rsidR="006E4909" w:rsidRPr="006E4909">
        <w:rPr>
          <w:sz w:val="24"/>
          <w:lang w:val="hr-HR"/>
        </w:rPr>
        <w:tab/>
      </w:r>
      <w:r w:rsidRPr="006E4909">
        <w:rPr>
          <w:sz w:val="24"/>
          <w:lang w:val="hr-HR"/>
        </w:rPr>
        <w:t xml:space="preserve">SL L 433 I, 22.12.2020., str. 28., ELI: </w:t>
      </w:r>
      <w:r>
        <w:fldChar w:fldCharType="begin"/>
      </w:r>
      <w:r w:rsidRPr="00F1438B">
        <w:rPr>
          <w:lang w:val="pl-PL"/>
        </w:rPr>
        <w:instrText>HYPERLINK "http://data.europa.eu/eli/agree_interinstit/2020/1222/oj"</w:instrText>
      </w:r>
      <w:r>
        <w:fldChar w:fldCharType="separate"/>
      </w:r>
      <w:r w:rsidRPr="006E4909">
        <w:rPr>
          <w:rStyle w:val="Hyperlink"/>
          <w:sz w:val="24"/>
          <w:lang w:val="hr-HR"/>
        </w:rPr>
        <w:t>http://data.europa.eu/eli/agree_interinstit/2020/1222/oj</w:t>
      </w:r>
      <w:r>
        <w:fldChar w:fldCharType="end"/>
      </w:r>
      <w:r w:rsidRPr="006E4909">
        <w:rPr>
          <w:sz w:val="24"/>
          <w:lang w:val="hr-HR"/>
        </w:rPr>
        <w:t>.</w:t>
      </w:r>
    </w:p>
  </w:footnote>
  <w:footnote w:id="5">
    <w:p w14:paraId="33591F18" w14:textId="06A00F02" w:rsidR="00D23114" w:rsidRPr="006E4909" w:rsidRDefault="00D23114" w:rsidP="006E4909">
      <w:pPr>
        <w:pStyle w:val="FootnoteText"/>
        <w:ind w:left="567" w:hanging="567"/>
        <w:rPr>
          <w:sz w:val="24"/>
          <w:lang w:val="hr-HR"/>
        </w:rPr>
      </w:pPr>
      <w:r w:rsidRPr="006E4909">
        <w:rPr>
          <w:rStyle w:val="FootnoteReference"/>
          <w:sz w:val="24"/>
          <w:lang w:val="hr-HR"/>
        </w:rPr>
        <w:footnoteRef/>
      </w:r>
      <w:r w:rsidR="006E4909" w:rsidRPr="006E4909">
        <w:rPr>
          <w:sz w:val="24"/>
          <w:lang w:val="hr-HR"/>
        </w:rPr>
        <w:t xml:space="preserve"> </w:t>
      </w:r>
      <w:r w:rsidR="006E4909" w:rsidRPr="006E4909">
        <w:rPr>
          <w:sz w:val="24"/>
          <w:lang w:val="hr-HR"/>
        </w:rPr>
        <w:tab/>
      </w:r>
      <w:r w:rsidRPr="006E4909">
        <w:rPr>
          <w:sz w:val="24"/>
          <w:lang w:val="hr-HR"/>
        </w:rPr>
        <w:t>U smislu članka 3. Uredbe o EGF-u.</w:t>
      </w:r>
    </w:p>
  </w:footnote>
  <w:footnote w:id="6">
    <w:p w14:paraId="7D0AA392" w14:textId="6AE8B671" w:rsidR="00D23114" w:rsidRPr="006E4909" w:rsidRDefault="00D23114" w:rsidP="006E4909">
      <w:pPr>
        <w:pStyle w:val="FootnoteText"/>
        <w:ind w:left="567" w:hanging="567"/>
        <w:rPr>
          <w:sz w:val="24"/>
          <w:lang w:val="hr-HR"/>
        </w:rPr>
      </w:pPr>
      <w:r w:rsidRPr="006E4909">
        <w:rPr>
          <w:rStyle w:val="FootnoteReference"/>
          <w:sz w:val="24"/>
          <w:lang w:val="hr-HR"/>
        </w:rPr>
        <w:footnoteRef/>
      </w:r>
      <w:r w:rsidR="006E4909" w:rsidRPr="006E4909">
        <w:rPr>
          <w:sz w:val="24"/>
          <w:lang w:val="hr-HR"/>
        </w:rPr>
        <w:t xml:space="preserve"> </w:t>
      </w:r>
      <w:r w:rsidR="006E4909" w:rsidRPr="006E4909">
        <w:rPr>
          <w:sz w:val="24"/>
          <w:lang w:val="hr-HR"/>
        </w:rPr>
        <w:tab/>
      </w:r>
      <w:r w:rsidRPr="006E4909">
        <w:rPr>
          <w:sz w:val="24"/>
          <w:lang w:val="hr-HR"/>
        </w:rPr>
        <w:t>Članak 8. Uredbe o VFO-u.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D30A" w14:textId="77777777" w:rsidR="00064002" w:rsidRPr="006E49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3C4F5" w14:textId="77777777" w:rsidR="00064002" w:rsidRPr="006E49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3236" w14:textId="77777777" w:rsidR="00064002" w:rsidRPr="006E49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8351014">
    <w:abstractNumId w:val="9"/>
  </w:num>
  <w:num w:numId="2" w16cid:durableId="1988708229">
    <w:abstractNumId w:val="9"/>
  </w:num>
  <w:num w:numId="3" w16cid:durableId="745693186">
    <w:abstractNumId w:val="7"/>
  </w:num>
  <w:num w:numId="4" w16cid:durableId="1200631171">
    <w:abstractNumId w:val="7"/>
  </w:num>
  <w:num w:numId="5" w16cid:durableId="2032877477">
    <w:abstractNumId w:val="6"/>
  </w:num>
  <w:num w:numId="6" w16cid:durableId="1836728649">
    <w:abstractNumId w:val="6"/>
  </w:num>
  <w:num w:numId="7" w16cid:durableId="450051007">
    <w:abstractNumId w:val="5"/>
  </w:num>
  <w:num w:numId="8" w16cid:durableId="770049203">
    <w:abstractNumId w:val="5"/>
  </w:num>
  <w:num w:numId="9" w16cid:durableId="230192638">
    <w:abstractNumId w:val="4"/>
  </w:num>
  <w:num w:numId="10" w16cid:durableId="985356323">
    <w:abstractNumId w:val="4"/>
  </w:num>
  <w:num w:numId="11" w16cid:durableId="94910834">
    <w:abstractNumId w:val="8"/>
  </w:num>
  <w:num w:numId="12" w16cid:durableId="441074054">
    <w:abstractNumId w:val="8"/>
  </w:num>
  <w:num w:numId="13" w16cid:durableId="1226532775">
    <w:abstractNumId w:val="3"/>
  </w:num>
  <w:num w:numId="14" w16cid:durableId="240259320">
    <w:abstractNumId w:val="3"/>
  </w:num>
  <w:num w:numId="15" w16cid:durableId="274602940">
    <w:abstractNumId w:val="2"/>
  </w:num>
  <w:num w:numId="16" w16cid:durableId="660616705">
    <w:abstractNumId w:val="2"/>
  </w:num>
  <w:num w:numId="17" w16cid:durableId="1632975863">
    <w:abstractNumId w:val="1"/>
  </w:num>
  <w:num w:numId="18" w16cid:durableId="1510371689">
    <w:abstractNumId w:val="1"/>
  </w:num>
  <w:num w:numId="19" w16cid:durableId="194124314">
    <w:abstractNumId w:val="0"/>
  </w:num>
  <w:num w:numId="20" w16cid:durableId="1729379919">
    <w:abstractNumId w:val="0"/>
  </w:num>
  <w:num w:numId="21" w16cid:durableId="504130290">
    <w:abstractNumId w:val="9"/>
  </w:num>
  <w:num w:numId="22" w16cid:durableId="46683299">
    <w:abstractNumId w:val="7"/>
  </w:num>
  <w:num w:numId="23" w16cid:durableId="1967468398">
    <w:abstractNumId w:val="6"/>
  </w:num>
  <w:num w:numId="24" w16cid:durableId="1609654559">
    <w:abstractNumId w:val="5"/>
  </w:num>
  <w:num w:numId="25" w16cid:durableId="1515850468">
    <w:abstractNumId w:val="4"/>
  </w:num>
  <w:num w:numId="26" w16cid:durableId="728503460">
    <w:abstractNumId w:val="8"/>
  </w:num>
  <w:num w:numId="27" w16cid:durableId="1245577451">
    <w:abstractNumId w:val="3"/>
  </w:num>
  <w:num w:numId="28" w16cid:durableId="1719545411">
    <w:abstractNumId w:val="2"/>
  </w:num>
  <w:num w:numId="29" w16cid:durableId="1078593383">
    <w:abstractNumId w:val="1"/>
  </w:num>
  <w:num w:numId="30" w16cid:durableId="701857716">
    <w:abstractNumId w:val="0"/>
  </w:num>
  <w:num w:numId="31" w16cid:durableId="1254047369">
    <w:abstractNumId w:val="9"/>
  </w:num>
  <w:num w:numId="32" w16cid:durableId="13310335">
    <w:abstractNumId w:val="7"/>
  </w:num>
  <w:num w:numId="33" w16cid:durableId="2038653902">
    <w:abstractNumId w:val="6"/>
  </w:num>
  <w:num w:numId="34" w16cid:durableId="1245528135">
    <w:abstractNumId w:val="5"/>
  </w:num>
  <w:num w:numId="35" w16cid:durableId="1088189286">
    <w:abstractNumId w:val="4"/>
  </w:num>
  <w:num w:numId="36" w16cid:durableId="848445022">
    <w:abstractNumId w:val="8"/>
  </w:num>
  <w:num w:numId="37" w16cid:durableId="1998339775">
    <w:abstractNumId w:val="3"/>
  </w:num>
  <w:num w:numId="38" w16cid:durableId="853033715">
    <w:abstractNumId w:val="2"/>
  </w:num>
  <w:num w:numId="39" w16cid:durableId="2079742541">
    <w:abstractNumId w:val="1"/>
  </w:num>
  <w:num w:numId="40" w16cid:durableId="1972206619">
    <w:abstractNumId w:val="0"/>
  </w:num>
  <w:num w:numId="41" w16cid:durableId="1245188798">
    <w:abstractNumId w:val="10"/>
  </w:num>
  <w:num w:numId="42" w16cid:durableId="1833570558">
    <w:abstractNumId w:val="10"/>
  </w:num>
  <w:num w:numId="43" w16cid:durableId="595750536">
    <w:abstractNumId w:val="10"/>
  </w:num>
  <w:num w:numId="44" w16cid:durableId="1755009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HR"/>
    <w:docVar w:name="dvnumam" w:val="0"/>
    <w:docVar w:name="dvpe" w:val="784.472"/>
    <w:docVar w:name="dvrapporteur" w:val="Izvjestitelj: "/>
    <w:docVar w:name="dvtitre" w:val="Rezolucija Europskog parlamenta od .... 2026. o Prijedlogu odluke Europskog parlamenta i Vijeća o mobilizaciji Europskog fonda za prilagodbu globalizaciji za radnike koji su proglašeni viškom na temelju zahtjeva Austrije – EGF/2025/005 AT/KTM(COM(2026)0010 – C10-0026/2026 – 2026/0037(BUD))"/>
  </w:docVars>
  <w:rsids>
    <w:rsidRoot w:val="00A6778B"/>
    <w:rsid w:val="00002272"/>
    <w:rsid w:val="00064002"/>
    <w:rsid w:val="000677B9"/>
    <w:rsid w:val="000831BA"/>
    <w:rsid w:val="000A42CC"/>
    <w:rsid w:val="000C3A2D"/>
    <w:rsid w:val="000E360D"/>
    <w:rsid w:val="000E7DD9"/>
    <w:rsid w:val="0010095E"/>
    <w:rsid w:val="00120EA5"/>
    <w:rsid w:val="00125B37"/>
    <w:rsid w:val="00187494"/>
    <w:rsid w:val="001F32AE"/>
    <w:rsid w:val="002767FF"/>
    <w:rsid w:val="002B18FE"/>
    <w:rsid w:val="002B5493"/>
    <w:rsid w:val="00343214"/>
    <w:rsid w:val="00361C00"/>
    <w:rsid w:val="00395FA1"/>
    <w:rsid w:val="00396619"/>
    <w:rsid w:val="003E15D4"/>
    <w:rsid w:val="00411CCE"/>
    <w:rsid w:val="0041666E"/>
    <w:rsid w:val="00421060"/>
    <w:rsid w:val="00471C19"/>
    <w:rsid w:val="004867E3"/>
    <w:rsid w:val="00494A28"/>
    <w:rsid w:val="004C0004"/>
    <w:rsid w:val="004C5D52"/>
    <w:rsid w:val="0050519A"/>
    <w:rsid w:val="005072A1"/>
    <w:rsid w:val="00514517"/>
    <w:rsid w:val="00545827"/>
    <w:rsid w:val="00547433"/>
    <w:rsid w:val="00560270"/>
    <w:rsid w:val="005C2568"/>
    <w:rsid w:val="005E3BEE"/>
    <w:rsid w:val="005F1B17"/>
    <w:rsid w:val="006037C0"/>
    <w:rsid w:val="006631B6"/>
    <w:rsid w:val="00680577"/>
    <w:rsid w:val="006A57C2"/>
    <w:rsid w:val="006E490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1E54"/>
    <w:rsid w:val="008840E5"/>
    <w:rsid w:val="00887B3E"/>
    <w:rsid w:val="008A12EA"/>
    <w:rsid w:val="008C2AC6"/>
    <w:rsid w:val="008E5B4A"/>
    <w:rsid w:val="00930C23"/>
    <w:rsid w:val="0093193B"/>
    <w:rsid w:val="009324F0"/>
    <w:rsid w:val="009509D8"/>
    <w:rsid w:val="00950B64"/>
    <w:rsid w:val="00981893"/>
    <w:rsid w:val="009C743B"/>
    <w:rsid w:val="00A1687D"/>
    <w:rsid w:val="00A43E52"/>
    <w:rsid w:val="00A4678D"/>
    <w:rsid w:val="00A6778B"/>
    <w:rsid w:val="00A778C7"/>
    <w:rsid w:val="00AB441E"/>
    <w:rsid w:val="00AB6293"/>
    <w:rsid w:val="00AE0928"/>
    <w:rsid w:val="00AF3B82"/>
    <w:rsid w:val="00B12E95"/>
    <w:rsid w:val="00B22876"/>
    <w:rsid w:val="00B558F0"/>
    <w:rsid w:val="00BD48FE"/>
    <w:rsid w:val="00BD7BD8"/>
    <w:rsid w:val="00BE398E"/>
    <w:rsid w:val="00BE6ADC"/>
    <w:rsid w:val="00C05BFE"/>
    <w:rsid w:val="00C23CD4"/>
    <w:rsid w:val="00C61C0C"/>
    <w:rsid w:val="00C941CB"/>
    <w:rsid w:val="00CC2357"/>
    <w:rsid w:val="00CF071A"/>
    <w:rsid w:val="00D058B8"/>
    <w:rsid w:val="00D23114"/>
    <w:rsid w:val="00D56C11"/>
    <w:rsid w:val="00D61093"/>
    <w:rsid w:val="00D834A0"/>
    <w:rsid w:val="00D872DF"/>
    <w:rsid w:val="00D91E21"/>
    <w:rsid w:val="00DA7FCD"/>
    <w:rsid w:val="00E365E1"/>
    <w:rsid w:val="00E820A4"/>
    <w:rsid w:val="00EB006A"/>
    <w:rsid w:val="00EB4772"/>
    <w:rsid w:val="00ED169E"/>
    <w:rsid w:val="00ED4235"/>
    <w:rsid w:val="00EE5FC4"/>
    <w:rsid w:val="00F04346"/>
    <w:rsid w:val="00F075DC"/>
    <w:rsid w:val="00F1438B"/>
    <w:rsid w:val="00F149E9"/>
    <w:rsid w:val="00F5134D"/>
    <w:rsid w:val="00F74202"/>
    <w:rsid w:val="00F8149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8D1C1"/>
  <w15:chartTrackingRefBased/>
  <w15:docId w15:val="{635C4BE9-3134-4F84-BD30-5C816FFEA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2311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23114"/>
    <w:pPr>
      <w:keepNext/>
      <w:spacing w:after="480"/>
      <w:jc w:val="center"/>
    </w:pPr>
    <w:rPr>
      <w:rFonts w:ascii="Arial" w:hAnsi="Arial" w:cs="Arial"/>
      <w:b/>
    </w:rPr>
  </w:style>
  <w:style w:type="paragraph" w:customStyle="1" w:styleId="NormalHanging12a">
    <w:name w:val="NormalHanging12a"/>
    <w:basedOn w:val="Normal"/>
    <w:link w:val="NormalHanging12aChar"/>
    <w:rsid w:val="00D23114"/>
    <w:pPr>
      <w:spacing w:after="240"/>
      <w:ind w:left="567" w:hanging="567"/>
    </w:pPr>
  </w:style>
  <w:style w:type="paragraph" w:styleId="Header">
    <w:name w:val="header"/>
    <w:basedOn w:val="Normal"/>
    <w:link w:val="HeaderChar"/>
    <w:rsid w:val="00D23114"/>
    <w:pPr>
      <w:tabs>
        <w:tab w:val="center" w:pos="4513"/>
        <w:tab w:val="right" w:pos="9026"/>
      </w:tabs>
    </w:pPr>
  </w:style>
  <w:style w:type="character" w:customStyle="1" w:styleId="HeaderChar">
    <w:name w:val="Header Char"/>
    <w:basedOn w:val="DefaultParagraphFont"/>
    <w:link w:val="Header"/>
    <w:rsid w:val="00D23114"/>
    <w:rPr>
      <w:sz w:val="24"/>
      <w:lang w:val="hr-HR"/>
    </w:rPr>
  </w:style>
  <w:style w:type="paragraph" w:customStyle="1" w:styleId="EPFooter">
    <w:name w:val="EPFooter"/>
    <w:basedOn w:val="Normal"/>
    <w:rsid w:val="00D23114"/>
    <w:pPr>
      <w:tabs>
        <w:tab w:val="center" w:pos="4535"/>
        <w:tab w:val="right" w:pos="9071"/>
      </w:tabs>
      <w:spacing w:before="240" w:after="240"/>
    </w:pPr>
    <w:rPr>
      <w:color w:val="010000"/>
      <w:sz w:val="22"/>
    </w:rPr>
  </w:style>
  <w:style w:type="paragraph" w:customStyle="1" w:styleId="EPComma">
    <w:name w:val="EPComma"/>
    <w:basedOn w:val="Normal"/>
    <w:rsid w:val="00D23114"/>
    <w:pPr>
      <w:spacing w:before="480" w:after="240"/>
    </w:pPr>
  </w:style>
  <w:style w:type="character" w:styleId="Hyperlink">
    <w:name w:val="Hyperlink"/>
    <w:basedOn w:val="DefaultParagraphFont"/>
    <w:rsid w:val="00D23114"/>
    <w:rPr>
      <w:color w:val="0563C1" w:themeColor="hyperlink"/>
      <w:u w:val="single"/>
    </w:rPr>
  </w:style>
  <w:style w:type="character" w:customStyle="1" w:styleId="NormalHanging12aChar">
    <w:name w:val="NormalHanging12a Char"/>
    <w:basedOn w:val="DefaultParagraphFont"/>
    <w:link w:val="NormalHanging12a"/>
    <w:locked/>
    <w:rsid w:val="00D23114"/>
    <w:rPr>
      <w:sz w:val="24"/>
      <w:lang w:val="hr-HR"/>
    </w:rPr>
  </w:style>
  <w:style w:type="character" w:customStyle="1" w:styleId="PageHeadingChar">
    <w:name w:val="PageHeading Char"/>
    <w:basedOn w:val="DefaultParagraphFont"/>
    <w:link w:val="PageHeading"/>
    <w:rsid w:val="00D23114"/>
    <w:rPr>
      <w:rFonts w:ascii="Arial" w:hAnsi="Arial" w:cs="Arial"/>
      <w:b/>
      <w:sz w:val="24"/>
      <w:lang w:val="hr-HR"/>
    </w:rPr>
  </w:style>
  <w:style w:type="character" w:styleId="FollowedHyperlink">
    <w:name w:val="FollowedHyperlink"/>
    <w:basedOn w:val="DefaultParagraphFont"/>
    <w:rsid w:val="008A12EA"/>
    <w:rPr>
      <w:color w:val="954F72" w:themeColor="followedHyperlink"/>
      <w:u w:val="single"/>
    </w:rPr>
  </w:style>
  <w:style w:type="paragraph" w:styleId="Revision">
    <w:name w:val="Revision"/>
    <w:hidden/>
    <w:uiPriority w:val="99"/>
    <w:semiHidden/>
    <w:rsid w:val="009324F0"/>
    <w:rPr>
      <w:sz w:val="24"/>
      <w:lang w:val="hr-HR"/>
    </w:rPr>
  </w:style>
  <w:style w:type="character" w:styleId="UnresolvedMention">
    <w:name w:val="Unresolved Mention"/>
    <w:basedOn w:val="DefaultParagraphFont"/>
    <w:uiPriority w:val="99"/>
    <w:semiHidden/>
    <w:unhideWhenUsed/>
    <w:rsid w:val="005E3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1449</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2026-05-19T15:33:00Z</dcterms:created>
  <dcterms:modified xsi:type="dcterms:W3CDTF">2026-05-19T15:33:00Z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P10_TA(2026)0103_</vt:lpwstr>
  </property>
  <property fmtid="{D5CDD505-2E9C-101B-9397-08002B2CF9AE}" pid="4" name="&lt;Type&gt;">
    <vt:lpwstr>RR</vt:lpwstr>
  </property>
</Properties>
</file>