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1302" w14:paraId="552196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1C39C9" w14:textId="77777777" w:rsidR="00751A4A" w:rsidRPr="00C31302" w:rsidRDefault="0085149C" w:rsidP="0010095E">
            <w:pPr>
              <w:pStyle w:val="EPName"/>
            </w:pPr>
            <w:r w:rsidRPr="00C31302">
              <w:t>Európai Parlament</w:t>
            </w:r>
          </w:p>
          <w:p w14:paraId="13E1BBA6" w14:textId="77777777" w:rsidR="00751A4A" w:rsidRPr="00C313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1302">
              <w:t>2024</w:t>
            </w:r>
            <w:r w:rsidR="00817416" w:rsidRPr="00C31302">
              <w:t>-202</w:t>
            </w:r>
            <w:r w:rsidRPr="00C31302">
              <w:t>9</w:t>
            </w:r>
          </w:p>
        </w:tc>
        <w:tc>
          <w:tcPr>
            <w:tcW w:w="2268" w:type="dxa"/>
            <w:shd w:val="clear" w:color="auto" w:fill="auto"/>
          </w:tcPr>
          <w:p w14:paraId="55E88ACC" w14:textId="77777777" w:rsidR="00751A4A" w:rsidRPr="00C31302" w:rsidRDefault="00187494" w:rsidP="0010095E">
            <w:pPr>
              <w:pStyle w:val="EPLogo"/>
            </w:pPr>
            <w:r w:rsidRPr="00C31302">
              <w:rPr>
                <w:noProof/>
                <w:lang w:eastAsia="ja-JP"/>
              </w:rPr>
              <w:drawing>
                <wp:inline distT="0" distB="0" distL="0" distR="0" wp14:anchorId="5FC5AEAB" wp14:editId="3DCAB34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972636" w14:textId="77777777" w:rsidR="00D058B8" w:rsidRPr="00C31302" w:rsidRDefault="00D058B8" w:rsidP="004C5D52">
      <w:pPr>
        <w:pStyle w:val="LineTop"/>
      </w:pPr>
    </w:p>
    <w:p w14:paraId="35A18F34" w14:textId="77777777" w:rsidR="00680577" w:rsidRPr="00C31302" w:rsidRDefault="0085149C" w:rsidP="00680577">
      <w:pPr>
        <w:pStyle w:val="EPBodyTA1"/>
      </w:pPr>
      <w:r w:rsidRPr="00C31302">
        <w:t>ELFOGADOTT SZÖVEGEK</w:t>
      </w:r>
    </w:p>
    <w:p w14:paraId="11FF9077" w14:textId="77777777" w:rsidR="00D058B8" w:rsidRPr="00C31302" w:rsidRDefault="00D058B8" w:rsidP="00D058B8">
      <w:pPr>
        <w:pStyle w:val="LineBottom"/>
      </w:pPr>
    </w:p>
    <w:p w14:paraId="1455DF27" w14:textId="6063A561" w:rsidR="0085149C" w:rsidRPr="00C31302" w:rsidRDefault="0085149C" w:rsidP="0085149C">
      <w:pPr>
        <w:pStyle w:val="ATHeading1"/>
      </w:pPr>
      <w:bookmarkStart w:id="0" w:name="TANumber"/>
      <w:r w:rsidRPr="00C31302">
        <w:t>P10_</w:t>
      </w:r>
      <w:proofErr w:type="gramStart"/>
      <w:r w:rsidRPr="00C31302">
        <w:t>TA(</w:t>
      </w:r>
      <w:proofErr w:type="gramEnd"/>
      <w:r w:rsidRPr="00C31302">
        <w:t>2026)0</w:t>
      </w:r>
      <w:r w:rsidR="00C31302" w:rsidRPr="00C31302">
        <w:t>103</w:t>
      </w:r>
      <w:bookmarkEnd w:id="0"/>
    </w:p>
    <w:p w14:paraId="3D5E9E4E" w14:textId="77777777" w:rsidR="0085149C" w:rsidRPr="00C31302" w:rsidRDefault="0085149C" w:rsidP="0085149C">
      <w:pPr>
        <w:pStyle w:val="ATHeading2"/>
      </w:pPr>
      <w:bookmarkStart w:id="1" w:name="title"/>
      <w:r w:rsidRPr="00C31302">
        <w:t>Az elbocsátott munkavállalók támogatását szolgáló Európai Globalizációs Alkalmazkodási Alap igénybevétele: Ausztria EGF/2025/005 AT/KTM referenciaszámú kérelme</w:t>
      </w:r>
      <w:bookmarkEnd w:id="1"/>
    </w:p>
    <w:p w14:paraId="71EBE695" w14:textId="39069A4E" w:rsidR="0085149C" w:rsidRPr="00C31302" w:rsidRDefault="0085149C" w:rsidP="0085149C">
      <w:pPr>
        <w:rPr>
          <w:i/>
          <w:vanish/>
        </w:rPr>
      </w:pPr>
      <w:r w:rsidRPr="00C31302">
        <w:rPr>
          <w:i/>
        </w:rPr>
        <w:fldChar w:fldCharType="begin"/>
      </w:r>
      <w:r w:rsidRPr="00C31302">
        <w:rPr>
          <w:i/>
        </w:rPr>
        <w:instrText xml:space="preserve"> TC"(</w:instrText>
      </w:r>
      <w:bookmarkStart w:id="2" w:name="DocNumber"/>
      <w:r w:rsidRPr="00C31302">
        <w:rPr>
          <w:i/>
        </w:rPr>
        <w:instrText>A10-0060/2026</w:instrText>
      </w:r>
      <w:bookmarkEnd w:id="2"/>
      <w:r w:rsidRPr="00C31302">
        <w:rPr>
          <w:i/>
        </w:rPr>
        <w:instrText xml:space="preserve"> - Előadó: </w:instrText>
      </w:r>
      <w:proofErr w:type="spellStart"/>
      <w:r w:rsidR="00254045" w:rsidRPr="00C31302">
        <w:rPr>
          <w:i/>
        </w:rPr>
        <w:instrText>Janusz</w:instrText>
      </w:r>
      <w:proofErr w:type="spellEnd"/>
      <w:r w:rsidR="00254045" w:rsidRPr="00C31302">
        <w:rPr>
          <w:i/>
        </w:rPr>
        <w:instrText xml:space="preserve"> </w:instrText>
      </w:r>
      <w:proofErr w:type="spellStart"/>
      <w:r w:rsidR="00254045" w:rsidRPr="00C31302">
        <w:rPr>
          <w:i/>
        </w:rPr>
        <w:instrText>Lewandowski</w:instrText>
      </w:r>
      <w:proofErr w:type="spellEnd"/>
      <w:r w:rsidRPr="00C31302">
        <w:rPr>
          <w:i/>
        </w:rPr>
        <w:instrText xml:space="preserve">)"\l3 \n&gt; \* MERGEFORMAT </w:instrText>
      </w:r>
      <w:r w:rsidRPr="00C31302">
        <w:rPr>
          <w:i/>
        </w:rPr>
        <w:fldChar w:fldCharType="end"/>
      </w:r>
    </w:p>
    <w:p w14:paraId="01F9D094" w14:textId="77777777" w:rsidR="0085149C" w:rsidRPr="00C31302" w:rsidRDefault="0085149C" w:rsidP="0085149C">
      <w:pPr>
        <w:rPr>
          <w:vanish/>
        </w:rPr>
      </w:pPr>
      <w:bookmarkStart w:id="3" w:name="Commission"/>
      <w:r w:rsidRPr="00C31302">
        <w:rPr>
          <w:vanish/>
        </w:rPr>
        <w:t>Költségvetési Bizottság</w:t>
      </w:r>
      <w:bookmarkEnd w:id="3"/>
    </w:p>
    <w:p w14:paraId="67C36759" w14:textId="77777777" w:rsidR="0085149C" w:rsidRPr="00C31302" w:rsidRDefault="0085149C" w:rsidP="0085149C">
      <w:pPr>
        <w:rPr>
          <w:vanish/>
        </w:rPr>
      </w:pPr>
      <w:bookmarkStart w:id="4" w:name="PE"/>
      <w:r w:rsidRPr="00C31302">
        <w:rPr>
          <w:vanish/>
        </w:rPr>
        <w:t>PE784.472</w:t>
      </w:r>
      <w:bookmarkEnd w:id="4"/>
    </w:p>
    <w:p w14:paraId="4E60BA45" w14:textId="6734E9BB" w:rsidR="0085149C" w:rsidRPr="00C31302" w:rsidRDefault="0085149C" w:rsidP="0085149C">
      <w:pPr>
        <w:pStyle w:val="ATHeading3"/>
      </w:pPr>
      <w:bookmarkStart w:id="5" w:name="Sujet"/>
      <w:r w:rsidRPr="00C31302">
        <w:t xml:space="preserve">Az Európai Parlament 2026. március </w:t>
      </w:r>
      <w:r w:rsidR="00BE02A9" w:rsidRPr="00C31302">
        <w:t>26-</w:t>
      </w:r>
      <w:r w:rsidRPr="00C31302">
        <w:t>i állásfoglalása Ausztria EGF/2025/005 AT/KTM referenciaszámú kérelme nyomán az elbocsátott munkavállalók támogatását szolgáló Európai Globalizációs Alkalmazkodási Alap igénybevételéről szóló európai parlamenti és tanácsi határozatra irányuló javaslatról</w:t>
      </w:r>
      <w:bookmarkEnd w:id="5"/>
      <w:r w:rsidRPr="00C31302">
        <w:t xml:space="preserve"> </w:t>
      </w:r>
      <w:bookmarkStart w:id="6" w:name="References"/>
      <w:r w:rsidRPr="00C31302">
        <w:t>(</w:t>
      </w:r>
      <w:proofErr w:type="gramStart"/>
      <w:r w:rsidRPr="00C31302">
        <w:t>COM(</w:t>
      </w:r>
      <w:proofErr w:type="gramEnd"/>
      <w:r w:rsidRPr="00C31302">
        <w:t>2026)0010 – C10-0026/2026 – 2026/0037(BUD))</w:t>
      </w:r>
      <w:bookmarkEnd w:id="6"/>
    </w:p>
    <w:p w14:paraId="6C3B6BA4" w14:textId="77777777" w:rsidR="00910BE8" w:rsidRPr="00C31302" w:rsidRDefault="00910BE8" w:rsidP="00910BE8">
      <w:pPr>
        <w:pStyle w:val="EPComma"/>
        <w:rPr>
          <w:noProof/>
        </w:rPr>
      </w:pPr>
      <w:r w:rsidRPr="00C31302">
        <w:rPr>
          <w:i/>
        </w:rPr>
        <w:t>Az Európai Parlament,</w:t>
      </w:r>
    </w:p>
    <w:p w14:paraId="3E9D71CF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–</w:t>
      </w:r>
      <w:r w:rsidRPr="00C31302">
        <w:tab/>
        <w:t>tekintettel a Bizottságnak az Európai Parlamenthez és a Tanácshoz intézett javaslatára (</w:t>
      </w:r>
      <w:proofErr w:type="gramStart"/>
      <w:r w:rsidRPr="00C31302">
        <w:t>COM(</w:t>
      </w:r>
      <w:proofErr w:type="gramEnd"/>
      <w:r w:rsidRPr="00C31302">
        <w:t>2026)0010 – C10</w:t>
      </w:r>
      <w:r w:rsidRPr="00C31302">
        <w:noBreakHyphen/>
        <w:t>0026/2026),</w:t>
      </w:r>
    </w:p>
    <w:p w14:paraId="3923D629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–</w:t>
      </w:r>
      <w:r w:rsidRPr="00C31302">
        <w:tab/>
        <w:t>tekintettel az elbocsátott munkavállalók támogatását szolgáló Európai Globalizációs Alkalmazkodási Alapról (EGAA) és az 1309/2013/EU rendelet hatályon kívül helyezéséről szóló, 2021. április 28-i (EU) 2021/691 európai parlamenti és tanácsi rendeletre</w:t>
      </w:r>
      <w:r w:rsidRPr="00C31302">
        <w:rPr>
          <w:noProof/>
          <w:vertAlign w:val="superscript"/>
        </w:rPr>
        <w:footnoteReference w:id="1"/>
      </w:r>
      <w:r w:rsidRPr="00C31302">
        <w:t xml:space="preserve"> (a továbbiakban: EGAA-rendelet), </w:t>
      </w:r>
    </w:p>
    <w:p w14:paraId="2EDBB312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–</w:t>
      </w:r>
      <w:r w:rsidRPr="00C31302">
        <w:tab/>
        <w:t>tekintettel az (EU, Euratom) 2024/765 rendelettel</w:t>
      </w:r>
      <w:r w:rsidRPr="00C31302">
        <w:rPr>
          <w:noProof/>
          <w:vertAlign w:val="superscript"/>
        </w:rPr>
        <w:footnoteReference w:id="2"/>
      </w:r>
      <w:r w:rsidRPr="00C31302">
        <w:t xml:space="preserve"> (a többéves pénzügyi keretről szóló rendelet) módosított, a 2021–2027-es időszakra vonatkozó többéves pénzügyi keretről szóló, 2020. december 17-i (EU, Euratom) 2020/2093 tanácsi rendeletre</w:t>
      </w:r>
      <w:r w:rsidRPr="00C31302">
        <w:rPr>
          <w:noProof/>
          <w:vertAlign w:val="superscript"/>
        </w:rPr>
        <w:footnoteReference w:id="3"/>
      </w:r>
      <w:r w:rsidRPr="00C31302">
        <w:t xml:space="preserve"> és különösen annak 8. cikkére, </w:t>
      </w:r>
    </w:p>
    <w:p w14:paraId="3D717AA7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–</w:t>
      </w:r>
      <w:r w:rsidRPr="00C31302">
        <w:tab/>
        <w:t xml:space="preserve"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</w:t>
      </w:r>
      <w:r w:rsidRPr="00C31302">
        <w:lastRenderedPageBreak/>
        <w:t>saját források bevezetésére irányuló ütemtervről szóló, 2020. december 16-i intézményközi megállapodásra</w:t>
      </w:r>
      <w:r w:rsidRPr="00C31302">
        <w:rPr>
          <w:noProof/>
          <w:vertAlign w:val="superscript"/>
        </w:rPr>
        <w:footnoteReference w:id="4"/>
      </w:r>
      <w:r w:rsidRPr="00C31302">
        <w:t xml:space="preserve"> és különösen annak 9. pontjára,</w:t>
      </w:r>
    </w:p>
    <w:p w14:paraId="457B2C96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–</w:t>
      </w:r>
      <w:r w:rsidRPr="00C31302">
        <w:tab/>
        <w:t>tekintettel a szociális jogok európai pillérére,</w:t>
      </w:r>
    </w:p>
    <w:p w14:paraId="216A611E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–</w:t>
      </w:r>
      <w:r w:rsidRPr="00C31302">
        <w:tab/>
        <w:t>tekintettel a Foglalkoztatási és Szociális Bizottság véleményére,</w:t>
      </w:r>
    </w:p>
    <w:p w14:paraId="091C8196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–</w:t>
      </w:r>
      <w:r w:rsidRPr="00C31302">
        <w:tab/>
        <w:t>tekintettel a Költségvetési Bizottság jelentésére (A10-0060/2026),</w:t>
      </w:r>
    </w:p>
    <w:p w14:paraId="25A4081F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A.</w:t>
      </w:r>
      <w:r w:rsidRPr="00C31302">
        <w:tab/>
        <w:t>mivel az Unió létrehozta a megfelelő jogalkotási és költségvetési eszközöket ahhoz, hogy további támogatást nyújtson a világkereskedelem fő strukturális eseményeinek és változásainak következményei által sújtott munkavállalóknak, és támogassa újbóli munkaerő-piaci beilleszkedésüket, mivel ez a támogatás a munkavállalóknak nyújtott pénzügyi támogatáson keresztül valósul meg;</w:t>
      </w:r>
    </w:p>
    <w:p w14:paraId="20D862AF" w14:textId="6F28ACB9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B.</w:t>
      </w:r>
      <w:r w:rsidRPr="00C31302">
        <w:tab/>
        <w:t>mivel Ausztria „EGF/2025/005 AT/KTM” referenciaszámmal kérelmet nyújtott be az EGAA-</w:t>
      </w:r>
      <w:proofErr w:type="spellStart"/>
      <w:r w:rsidRPr="00C31302">
        <w:t>ból</w:t>
      </w:r>
      <w:proofErr w:type="spellEnd"/>
      <w:r w:rsidRPr="00C31302">
        <w:t xml:space="preserve"> igénybe vehető pénzügyi hozzájárulás iránt a Felső-Ausztria (AT31) régióban a NACE </w:t>
      </w:r>
      <w:proofErr w:type="spellStart"/>
      <w:r w:rsidRPr="00C31302">
        <w:t>Rev</w:t>
      </w:r>
      <w:proofErr w:type="spellEnd"/>
      <w:r w:rsidRPr="00C31302">
        <w:t xml:space="preserve">. 2. rendszer szerinti 30. ágazatban (Egyéb jármű gyártása) működő KTM </w:t>
      </w:r>
      <w:proofErr w:type="spellStart"/>
      <w:r w:rsidRPr="00C31302">
        <w:t>Gruppe</w:t>
      </w:r>
      <w:proofErr w:type="spellEnd"/>
      <w:r w:rsidRPr="00C31302">
        <w:t xml:space="preserve"> (KTM) vállalatnál történt 1</w:t>
      </w:r>
      <w:r w:rsidR="00BE02A9" w:rsidRPr="00C31302">
        <w:t> </w:t>
      </w:r>
      <w:r w:rsidRPr="00C31302">
        <w:t>488 elbocsátást</w:t>
      </w:r>
      <w:r w:rsidRPr="00C31302">
        <w:rPr>
          <w:noProof/>
          <w:vertAlign w:val="superscript"/>
        </w:rPr>
        <w:footnoteReference w:id="5"/>
      </w:r>
      <w:r w:rsidRPr="00C31302">
        <w:t>, nevezetesen a 2025. február 25. és 2025. június 25. közötti referencia-időszakban történt 233 elbocsátást, valamint a referencia-időszak előtt vagy után történt 1</w:t>
      </w:r>
      <w:r w:rsidR="00BE02A9" w:rsidRPr="00C31302">
        <w:t> </w:t>
      </w:r>
      <w:r w:rsidRPr="00C31302">
        <w:t xml:space="preserve">255 elbocsátást követően; </w:t>
      </w:r>
    </w:p>
    <w:p w14:paraId="284E89C0" w14:textId="10613C44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C.</w:t>
      </w:r>
      <w:r w:rsidRPr="00C31302">
        <w:tab/>
        <w:t>mivel a kérelem az EGAA-rendelet 4. cikke (2) bekezdésének a) pontja szerinti beavatkozási kritériumokon alapul, amelyek a támogatást legalább 200 elbocsátott munkavállaló és önálló vállalkozó tevékenységének megszűnéséhez kötik egy négy hónapos referencia-időszak alatt egy vállalkozáson belül egy tagállamban; mivel 1</w:t>
      </w:r>
      <w:r w:rsidR="00BE02A9" w:rsidRPr="00C31302">
        <w:t> </w:t>
      </w:r>
      <w:r w:rsidRPr="00C31302">
        <w:t>255 olyan elbocsátottra vonatkozóan, akiknek a tevékenysége a négy hónapos referencia-időszak előtt vagy után szűnt meg, egyértelmű ok-okozati összefüggés mutatható ki azzal az eseménnyel, amely a referencia-időszak alatt az elbocsátott munkavállalók tevékenységének megszűnéséhez vezetett, ahogyan azt az EGAA-rendelet 6. cikke (2) bekezdése megköveteli;</w:t>
      </w:r>
    </w:p>
    <w:p w14:paraId="68074ABD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D.</w:t>
      </w:r>
      <w:r w:rsidRPr="00C31302">
        <w:tab/>
        <w:t>mivel a KTM 2024. november 29-én fizetésképtelenséget jelentett, és 2025. február 25-én szerkezetátalakítási tervet hagytak jóvá; mivel a vállalat a Covid19-világjárvány idején állami támogatásban részesült, és ezért a 2021. és 2024. évi osztalékfizetésre vonatkozó egyes döntései aggályokat vetnek fel;</w:t>
      </w:r>
    </w:p>
    <w:p w14:paraId="7ACB1324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E.</w:t>
      </w:r>
      <w:r w:rsidRPr="00C31302">
        <w:tab/>
        <w:t>mivel Ausztria jelezte, hogy Felső-Ausztria állami foglalkoztatási szolgálata és Felső-Ausztria tartománya biztosítja az intézkedések nemzeti előfinanszírozását és társfinanszírozását;</w:t>
      </w:r>
    </w:p>
    <w:p w14:paraId="5BAA4E27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F.</w:t>
      </w:r>
      <w:r w:rsidRPr="00C31302">
        <w:tab/>
        <w:t>mivel az uniós és nemzeti jogszabályokban a csoportos létszámleépítésekre vonatkozóan előírt követelményeket tiszteletben tartották;</w:t>
      </w:r>
    </w:p>
    <w:p w14:paraId="2F851499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G.</w:t>
      </w:r>
      <w:r w:rsidRPr="00C31302">
        <w:tab/>
        <w:t>mivel az EGAA-</w:t>
      </w:r>
      <w:proofErr w:type="spellStart"/>
      <w:r w:rsidRPr="00C31302">
        <w:t>ból</w:t>
      </w:r>
      <w:proofErr w:type="spellEnd"/>
      <w:r w:rsidRPr="00C31302">
        <w:t xml:space="preserve"> nyújtott pénzügyi hozzájárulásoknak elsősorban olyan aktív munkaerőpiaci szakpolitikai intézkedésekre és személyre szabott szolgáltatásokra kell irányulniuk, amelyek célja a kedvezményezettek gyors munkaerőpiaci visszailleszkedése, miközben készségfejlesztést kínálnak számukra a jövőbeli </w:t>
      </w:r>
      <w:r w:rsidRPr="00C31302">
        <w:lastRenderedPageBreak/>
        <w:t>munkaerőpiaci igényekhez való alkalmazkodásuk megkönnyítése, valamint a zöld és digitális átállásra való felkészítésük érdekében;</w:t>
      </w:r>
    </w:p>
    <w:p w14:paraId="1F73F0AD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H.</w:t>
      </w:r>
      <w:r w:rsidRPr="00C31302">
        <w:tab/>
        <w:t>mivel az EGAA éves maximális összege (2018-as árakon számítva) nem haladhatja meg a 30 millió EUR-t</w:t>
      </w:r>
      <w:r w:rsidRPr="00C31302">
        <w:rPr>
          <w:noProof/>
          <w:vertAlign w:val="superscript"/>
        </w:rPr>
        <w:footnoteReference w:id="6"/>
      </w:r>
      <w:r w:rsidRPr="00C31302">
        <w:t>;</w:t>
      </w:r>
    </w:p>
    <w:p w14:paraId="3DE4CE13" w14:textId="77777777" w:rsidR="00910BE8" w:rsidRPr="00C31302" w:rsidRDefault="00910BE8" w:rsidP="00254045">
      <w:pPr>
        <w:pStyle w:val="NormalHanging12a"/>
        <w:widowControl/>
        <w:rPr>
          <w:bCs/>
          <w:iCs/>
          <w:noProof/>
        </w:rPr>
      </w:pPr>
      <w:r w:rsidRPr="00C31302">
        <w:t>I.</w:t>
      </w:r>
      <w:r w:rsidRPr="00C31302">
        <w:tab/>
        <w:t xml:space="preserve">mivel a gyártási tevékenységek Unión kívülre történő közelmúltbeli áthelyezései rávilágítanak arra, hogy meg kell erősíteni az európai ipar versenyképességét és </w:t>
      </w:r>
      <w:proofErr w:type="spellStart"/>
      <w:r w:rsidRPr="00C31302">
        <w:t>rezilienciáját</w:t>
      </w:r>
      <w:proofErr w:type="spellEnd"/>
      <w:r w:rsidRPr="00C31302">
        <w:t xml:space="preserve"> a globális piacon;</w:t>
      </w:r>
    </w:p>
    <w:p w14:paraId="7CF5FC52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1.</w:t>
      </w:r>
      <w:r w:rsidRPr="00C31302">
        <w:tab/>
        <w:t xml:space="preserve">egyetért a Bizottsággal abban, hogy az EGAA-rendeletben és különösen annak 4. cikke (2) bekezdésének a) pontjában meghatározott feltételek teljesülnek, és hogy Ausztria az említett rendelet értelmében 1 806 624 EUR összegű pénzügyi hozzájárulásra jogosult, amely 60%-a </w:t>
      </w:r>
      <w:proofErr w:type="spellStart"/>
      <w:r w:rsidRPr="00C31302">
        <w:t>a</w:t>
      </w:r>
      <w:proofErr w:type="spellEnd"/>
      <w:r w:rsidRPr="00C31302">
        <w:t xml:space="preserve"> 3 011 040 EUR-s összköltségnek, amely a személyre szabott szolgáltatásokra fordított 2 895 120 EUR, továbbá az előkészítő, irányítási, tájékoztatási és nyilvánossággal kapcsolatos, valamint az ellenőrzési és jelentéstételi tevékenységekre fordított 115 920 EUR összegű kiadásokat foglalja magában;</w:t>
      </w:r>
    </w:p>
    <w:p w14:paraId="03DDBF24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2.</w:t>
      </w:r>
      <w:r w:rsidRPr="00C31302">
        <w:tab/>
        <w:t xml:space="preserve">megállapítja, hogy az osztrák hatóságok 2025. szeptember 15-én nyújtották be a kérelmet, és hogy annak értékelését a Bizottság – miután megkapta a kiegészítő információkat Ausztriától – 2026. február 6-án fejezte be, és erről 2026. február 11-én értesítette a Parlamentet; hangsúlyozza annak fontosságát, hogy lerövidítsék az EGAA-támogatás iránti kérelem benyújtása és a finanszírozási határozat közötti időt, ugyanakkor teljes mértékben védjék az Európai Parlamentnek mint a költségvetési hatóság egyik ágának jogait; </w:t>
      </w:r>
    </w:p>
    <w:p w14:paraId="6CFA8A89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3.</w:t>
      </w:r>
      <w:r w:rsidRPr="00C31302">
        <w:tab/>
        <w:t>megjegyzi, hogy a kérelem a KTM fizetésképtelensége által érintett 1488 munkavállalóra vonatkozik, és hogy felső-ausztriai viszonylatban ez a valaha volt legnagyobb mértékű elbocsátás; megállapítja továbbá, hogy a megcélzott kedvezményezettek köre összesen 420 elbocsátott munkavállalót foglal magában, akik várhatóan részt vesznek az intézkedésekben;</w:t>
      </w:r>
    </w:p>
    <w:p w14:paraId="62A1AE64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4.</w:t>
      </w:r>
      <w:r w:rsidRPr="00C31302">
        <w:tab/>
        <w:t xml:space="preserve">megjegyzi, hogy a KTM volt az Unió legnagyobb motorkerékpár-gyártója és a </w:t>
      </w:r>
      <w:proofErr w:type="spellStart"/>
      <w:r w:rsidRPr="00C31302">
        <w:t>Pierer</w:t>
      </w:r>
      <w:proofErr w:type="spellEnd"/>
      <w:r w:rsidRPr="00C31302">
        <w:t xml:space="preserve"> </w:t>
      </w:r>
      <w:proofErr w:type="spellStart"/>
      <w:r w:rsidRPr="00C31302">
        <w:t>Mobility</w:t>
      </w:r>
      <w:proofErr w:type="spellEnd"/>
      <w:r w:rsidRPr="00C31302">
        <w:t xml:space="preserve"> AG legnagyobb leányvállalata; sajnálatát fejezi ki amiatt, hogy az anyavállalat 2023 decemberében úgy döntött, hogy a tisztességtelen versenyfeltételek miatt Kínába és Indiába helyezi át a gyártást; megjegyzi, hogy ez 300 munkahely kezdeti megszüntetéséhez vezetett, és hogy a későbbi értékesítési veszteségek arra késztették a KTM-</w:t>
      </w:r>
      <w:proofErr w:type="spellStart"/>
      <w:r w:rsidRPr="00C31302">
        <w:t>et</w:t>
      </w:r>
      <w:proofErr w:type="spellEnd"/>
      <w:r w:rsidRPr="00C31302">
        <w:t>, hogy költségcsökkentést hajtson végre, beleértve több mint 500 alkalmazott elbocsátását 2024-ben;</w:t>
      </w:r>
    </w:p>
    <w:p w14:paraId="6FAC1FA5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5.</w:t>
      </w:r>
      <w:r w:rsidRPr="00C31302">
        <w:tab/>
        <w:t xml:space="preserve">megjegyzi, hogy az anyavállalatnak szerkezetátalakítási folyamatot kellett indítania, és hogy a KTM 2025. évi első termelésleállítása során több mint 750 további munkavállalót bocsátottak el; megjegyzi, hogy a </w:t>
      </w:r>
      <w:proofErr w:type="spellStart"/>
      <w:r w:rsidRPr="00C31302">
        <w:t>Bajaj</w:t>
      </w:r>
      <w:proofErr w:type="spellEnd"/>
      <w:r w:rsidRPr="00C31302">
        <w:t xml:space="preserve"> </w:t>
      </w:r>
      <w:proofErr w:type="spellStart"/>
      <w:r w:rsidRPr="00C31302">
        <w:t>Auto</w:t>
      </w:r>
      <w:proofErr w:type="spellEnd"/>
      <w:r w:rsidRPr="00C31302">
        <w:t xml:space="preserve"> International </w:t>
      </w:r>
      <w:proofErr w:type="spellStart"/>
      <w:r w:rsidRPr="00C31302">
        <w:t>Holdings</w:t>
      </w:r>
      <w:proofErr w:type="spellEnd"/>
      <w:r w:rsidRPr="00C31302">
        <w:t xml:space="preserve"> B.V. befektető 2025. május 22-én biztosította a KTM további működésének biztosításához szükséges forrásokat, elkerülve ezzel a KTM csődjét, és lehetővé téve, hogy 2025 júliusában </w:t>
      </w:r>
      <w:proofErr w:type="spellStart"/>
      <w:r w:rsidRPr="00C31302">
        <w:t>újrainduljon</w:t>
      </w:r>
      <w:proofErr w:type="spellEnd"/>
      <w:r w:rsidRPr="00C31302">
        <w:t xml:space="preserve"> a gyártás, csökkentett kiadások mellett;</w:t>
      </w:r>
    </w:p>
    <w:p w14:paraId="3946FDAB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6.</w:t>
      </w:r>
      <w:r w:rsidRPr="00C31302">
        <w:tab/>
        <w:t xml:space="preserve">megjegyzi, hogy a KTM egykor az egyik legsikeresebb motorkerékpár-márka volt Európában, és a felső-ausztriai </w:t>
      </w:r>
      <w:proofErr w:type="spellStart"/>
      <w:r w:rsidRPr="00C31302">
        <w:t>Braunau</w:t>
      </w:r>
      <w:proofErr w:type="spellEnd"/>
      <w:r w:rsidRPr="00C31302">
        <w:t xml:space="preserve"> körzet számos beszállítójának jelentős munkáltatója és kritikus gazdasági pillére volt; megjegyzi, hogy ennek következtében a </w:t>
      </w:r>
      <w:r w:rsidRPr="00C31302">
        <w:lastRenderedPageBreak/>
        <w:t xml:space="preserve">körzetben 2024 novemberében 37,1%-kal nőtt a munkanélküliség az előző év azonos hónapjához képest; megjegyzi, hogy a munkanélküliség 2025-ben </w:t>
      </w:r>
      <w:proofErr w:type="spellStart"/>
      <w:r w:rsidRPr="00C31302">
        <w:t>Braunau</w:t>
      </w:r>
      <w:proofErr w:type="spellEnd"/>
      <w:r w:rsidRPr="00C31302">
        <w:t xml:space="preserve"> körzetben minden eddiginél magasabb szintet ért el; </w:t>
      </w:r>
    </w:p>
    <w:p w14:paraId="737E655B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7.</w:t>
      </w:r>
      <w:r w:rsidRPr="00C31302">
        <w:tab/>
        <w:t xml:space="preserve">emlékeztet arra, hogy a szociális partnerekkel egyetértésben a munkavállalóknak nyújtandó, személyre szabott szolgáltatások a következő intézkedésekből állnak: ügykezelés; karrier-tanácsadás és pályaorientáció; képzés és átképzés; proaktív álláskeresés; képzési támogatás; kiemeli a magas színvonalú, jövőorientált munkahelyek előmozdításának fontosságát a hosszú távú gazdasági és társadalmi </w:t>
      </w:r>
      <w:proofErr w:type="spellStart"/>
      <w:r w:rsidRPr="00C31302">
        <w:t>reziliencia</w:t>
      </w:r>
      <w:proofErr w:type="spellEnd"/>
      <w:r w:rsidRPr="00C31302">
        <w:t xml:space="preserve"> biztosítása érdekében; hangsúlyozza a regionális vállalkozásokkal és munkáltatókkal való szoros együttműködés fontosságát annak biztosítása érdekében, hogy a képzési és átképzési programok megfeleljenek a konkrét munkaerőpiaci igényeknek, és megkönnyítsék az elbocsátott munkavállalók gyors visszailleszkedését;</w:t>
      </w:r>
    </w:p>
    <w:p w14:paraId="530344E6" w14:textId="77777777" w:rsidR="00910BE8" w:rsidRPr="00C31302" w:rsidRDefault="00910BE8" w:rsidP="00254045">
      <w:pPr>
        <w:pStyle w:val="NormalHanging12a"/>
        <w:widowControl/>
        <w:rPr>
          <w:bCs/>
          <w:iCs/>
          <w:noProof/>
        </w:rPr>
      </w:pPr>
      <w:r w:rsidRPr="00C31302">
        <w:t>8.</w:t>
      </w:r>
      <w:r w:rsidRPr="00C31302">
        <w:tab/>
        <w:t>emlékeztet arra, hogy az EGAA a szolidaritás és az igazságos átmenet eszköze, és bár a munkahelyek megszűnését követően támogatást nyújt, nem helyettesítheti a proaktív iparpolitikát; hangsúlyozza, hogy az Unió elsődleges feladatának annak kell lennie, hogy megelőzze az ilyen bezárásokat azáltal, hogy megteremti a feltételeket az ipari termelés versenyképességének megőrzése érdekében, ugyanakkor beruházásokat eszközöl mind a magasan képzett munkavállalók, mind az ipari munkavállalók készségeibe; hangsúlyozza, hogy az alacsony képzettségű munkavállalók profiljához igazított egyedi támogatást kell nyújtani, ugyanakkor intézkedéseket kell hozni a csődök csökkentése és a foglalkoztatásból való kirekesztéshez vezető társadalmi egyenlőtlenségek kezelése érdekében;</w:t>
      </w:r>
    </w:p>
    <w:p w14:paraId="3F771AAC" w14:textId="77777777" w:rsidR="00910BE8" w:rsidRPr="00C31302" w:rsidRDefault="00910BE8" w:rsidP="00254045">
      <w:pPr>
        <w:pStyle w:val="NormalHanging12a"/>
        <w:widowControl/>
        <w:rPr>
          <w:bCs/>
          <w:iCs/>
          <w:noProof/>
        </w:rPr>
      </w:pPr>
      <w:r w:rsidRPr="00C31302">
        <w:t>9.</w:t>
      </w:r>
      <w:r w:rsidRPr="00C31302">
        <w:tab/>
        <w:t>hangsúlyozza, hogy az osztrák hatóságoknak biztosítaniuk kell az uniós finanszírozás láthatóságát, és ki kell emelniük annak hozzáadott értékét azáltal, hogy hatékony és célzott tájékoztatást nyújtanak a kedvezményezetteknek, a regionális és helyi hatóságoknak, a szociális partnereknek és a szélesebb nyilvánosságnak;</w:t>
      </w:r>
    </w:p>
    <w:p w14:paraId="574720A2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10.</w:t>
      </w:r>
      <w:r w:rsidRPr="00C31302">
        <w:tab/>
        <w:t>felszólít a végrehajtott intézkedések alapos végső értékelésére, többek között egyértelmű információkkal arra vonatkozóan, hogy a forrásokat hogyan használták fel, és hogy azokat a jóváhagyott tervekkel összhangban költötték-e el;</w:t>
      </w:r>
    </w:p>
    <w:p w14:paraId="5EBBD31F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11.</w:t>
      </w:r>
      <w:r w:rsidRPr="00C31302">
        <w:tab/>
        <w:t xml:space="preserve">megjegyzi, hogy Ausztria 2025. március 1-jén kezdte meg a személyre szabott szolgáltatások nyújtását a célzott kedvezményezetteknek, </w:t>
      </w:r>
      <w:proofErr w:type="gramStart"/>
      <w:r w:rsidRPr="00C31302">
        <w:t>valamint</w:t>
      </w:r>
      <w:proofErr w:type="gramEnd"/>
      <w:r w:rsidRPr="00C31302">
        <w:t xml:space="preserve"> hogy az EGAA végrehajtásával összefüggésben is ettől a naptól kezdődően merültek fel igazgatási kiadások, és hogy az EGAA-</w:t>
      </w:r>
      <w:proofErr w:type="spellStart"/>
      <w:r w:rsidRPr="00C31302">
        <w:t>ból</w:t>
      </w:r>
      <w:proofErr w:type="spellEnd"/>
      <w:r w:rsidRPr="00C31302">
        <w:t xml:space="preserve"> igénybe vehető pénzügyi hozzájárulásra való jogosultság időszaka ezért ettől az időponttól kezdődően a finanszírozási határozat hatálybalépésétől számított 24. hónap és 31. hónap végéig fog tartani;</w:t>
      </w:r>
    </w:p>
    <w:p w14:paraId="669F3828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12.</w:t>
      </w:r>
      <w:r w:rsidRPr="00C31302">
        <w:tab/>
        <w:t>megállapítja, hogy az osztrák hatóságok megerősítették, hogy a javasolt intézkedésekhez való hozzáférés és azok végrehajtása során tiszteletben fogják tartani az egyenlő bánásmód és a megkülönböztetésmentesség elvét, és hogy megakadályozzák a kettős finanszírozást;</w:t>
      </w:r>
    </w:p>
    <w:p w14:paraId="053A45F4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13.</w:t>
      </w:r>
      <w:r w:rsidRPr="00C31302">
        <w:tab/>
        <w:t>ismételten hangsúlyozza, hogy az EGAA-</w:t>
      </w:r>
      <w:proofErr w:type="spellStart"/>
      <w:r w:rsidRPr="00C31302">
        <w:t>ból</w:t>
      </w:r>
      <w:proofErr w:type="spellEnd"/>
      <w:r w:rsidRPr="00C31302">
        <w:t xml:space="preserve"> nyújtott támogatás nem léphet azon intézkedések helyébe, amelyek a nemzeti jog vagy a kollektív szerződések értelmében a vállalkozások felelősségi körébe tartoznak;</w:t>
      </w:r>
    </w:p>
    <w:p w14:paraId="279A58F1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14.</w:t>
      </w:r>
      <w:r w:rsidRPr="00C31302">
        <w:tab/>
        <w:t>jóváhagyja a jelen állásfoglaláshoz mellékelt határozatot;</w:t>
      </w:r>
    </w:p>
    <w:p w14:paraId="6752CAF9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lastRenderedPageBreak/>
        <w:t>15.</w:t>
      </w:r>
      <w:r w:rsidRPr="00C31302">
        <w:tab/>
        <w:t xml:space="preserve">utasítja elnökét, hogy a Tanács elnökével együtt írja alá ezt a határozatot, valamint gondoskodjon közzétételéről az </w:t>
      </w:r>
      <w:r w:rsidRPr="00C31302">
        <w:rPr>
          <w:i/>
          <w:iCs/>
        </w:rPr>
        <w:t>Európai Unió Hivatalos Lapjában</w:t>
      </w:r>
      <w:r w:rsidRPr="00C31302">
        <w:t>;</w:t>
      </w:r>
    </w:p>
    <w:p w14:paraId="6E419FDA" w14:textId="77777777" w:rsidR="00910BE8" w:rsidRPr="00C31302" w:rsidRDefault="00910BE8" w:rsidP="00254045">
      <w:pPr>
        <w:pStyle w:val="NormalHanging12a"/>
        <w:widowControl/>
        <w:rPr>
          <w:noProof/>
        </w:rPr>
      </w:pPr>
      <w:r w:rsidRPr="00C31302">
        <w:t>16.</w:t>
      </w:r>
      <w:r w:rsidRPr="00C31302">
        <w:tab/>
        <w:t>utasítja elnökét, hogy továbbítsa ezt az állásfoglalást és annak mellékletét a Tanácsnak és a Bizottságnak.</w:t>
      </w:r>
    </w:p>
    <w:p w14:paraId="669E4F86" w14:textId="77777777" w:rsidR="00910BE8" w:rsidRPr="00C31302" w:rsidRDefault="00910BE8" w:rsidP="00910BE8">
      <w:pPr>
        <w:rPr>
          <w:noProof/>
        </w:rPr>
      </w:pPr>
    </w:p>
    <w:p w14:paraId="625DC615" w14:textId="77777777" w:rsidR="00910BE8" w:rsidRPr="00C31302" w:rsidRDefault="00910BE8" w:rsidP="00910BE8">
      <w:pPr>
        <w:pStyle w:val="PageHeading"/>
        <w:rPr>
          <w:noProof/>
        </w:rPr>
        <w:sectPr w:rsidR="00910BE8" w:rsidRPr="00C31302" w:rsidSect="001B04B8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1C18968" w14:textId="77777777" w:rsidR="006D3121" w:rsidRPr="006D3121" w:rsidRDefault="00910BE8" w:rsidP="00910BE8">
      <w:pPr>
        <w:pStyle w:val="PageHeading"/>
        <w:rPr>
          <w:rFonts w:ascii="Times New Roman" w:hAnsi="Times New Roman" w:cs="Times New Roman"/>
        </w:rPr>
      </w:pPr>
      <w:bookmarkStart w:id="7" w:name="_Toc224723324"/>
      <w:bookmarkStart w:id="8" w:name="_Toc224804571"/>
      <w:r w:rsidRPr="006D3121">
        <w:rPr>
          <w:rFonts w:ascii="Times New Roman" w:hAnsi="Times New Roman" w:cs="Times New Roman"/>
        </w:rPr>
        <w:lastRenderedPageBreak/>
        <w:t>MELLÉKLET</w:t>
      </w:r>
    </w:p>
    <w:p w14:paraId="4284FDE1" w14:textId="66E44B3E" w:rsidR="00910BE8" w:rsidRPr="006D3121" w:rsidRDefault="00910BE8" w:rsidP="00910BE8">
      <w:pPr>
        <w:pStyle w:val="PageHeading"/>
        <w:rPr>
          <w:rFonts w:ascii="Times New Roman" w:hAnsi="Times New Roman" w:cs="Times New Roman"/>
          <w:noProof/>
        </w:rPr>
      </w:pPr>
      <w:r w:rsidRPr="006D3121">
        <w:rPr>
          <w:rFonts w:ascii="Times New Roman" w:hAnsi="Times New Roman" w:cs="Times New Roman"/>
        </w:rPr>
        <w:t>AZ EURÓPAI PARLAMENT ÉS A TANÁCS HATÁROZATA</w:t>
      </w:r>
      <w:bookmarkEnd w:id="7"/>
      <w:bookmarkEnd w:id="8"/>
    </w:p>
    <w:p w14:paraId="78942732" w14:textId="77777777" w:rsidR="006D3121" w:rsidRDefault="006D3121" w:rsidP="00C31302">
      <w:pPr>
        <w:pStyle w:val="NormalHanging12a"/>
        <w:ind w:left="0" w:firstLine="0"/>
        <w:jc w:val="center"/>
        <w:rPr>
          <w:b/>
        </w:rPr>
      </w:pPr>
      <w:bookmarkStart w:id="9" w:name="_Hlk212804276"/>
      <w:bookmarkStart w:id="10" w:name="_Hlk212804598"/>
      <w:r w:rsidRPr="006D3121">
        <w:rPr>
          <w:b/>
        </w:rPr>
        <w:t>az elbocsátott munkavállalók támogatását szolgáló Európai Globalizációs Alkalmazkodási Alapnak Ausztria EGF/2025/005 AT/KTM referenciaszámú kérelme nyomán történő igénybevételéről</w:t>
      </w:r>
    </w:p>
    <w:bookmarkEnd w:id="9"/>
    <w:bookmarkEnd w:id="10"/>
    <w:p w14:paraId="107491B3" w14:textId="4875A667" w:rsidR="006D3121" w:rsidRPr="00635DA7" w:rsidRDefault="006D3121" w:rsidP="006D3121">
      <w:pPr>
        <w:pStyle w:val="NormalWeb"/>
        <w:spacing w:before="0" w:beforeAutospacing="0" w:after="0" w:afterAutospacing="0"/>
        <w:rPr>
          <w:noProof/>
          <w:lang w:val="hu-HU"/>
        </w:rPr>
      </w:pPr>
      <w:r w:rsidRPr="00635DA7">
        <w:rPr>
          <w:i/>
          <w:iCs/>
          <w:lang w:val="hu-HU"/>
        </w:rPr>
        <w:t>(E melléklet szövege itt nincs feltüntetve, mert az megegyezik a végleges jogi aktussal, az (EU) 2026/</w:t>
      </w:r>
      <w:r>
        <w:rPr>
          <w:i/>
          <w:iCs/>
          <w:lang w:val="hu-HU"/>
        </w:rPr>
        <w:t>85</w:t>
      </w:r>
      <w:r>
        <w:rPr>
          <w:i/>
          <w:iCs/>
          <w:lang w:val="hu-HU"/>
        </w:rPr>
        <w:t>0</w:t>
      </w:r>
      <w:r w:rsidRPr="00635DA7">
        <w:rPr>
          <w:i/>
          <w:iCs/>
          <w:lang w:val="hu-HU"/>
        </w:rPr>
        <w:t xml:space="preserve"> határozattal.)</w:t>
      </w:r>
    </w:p>
    <w:sectPr w:rsidR="006D3121" w:rsidRPr="00635DA7" w:rsidSect="001B04B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51E10" w14:textId="77777777" w:rsidR="0085149C" w:rsidRPr="001B04B8" w:rsidRDefault="0085149C">
      <w:r w:rsidRPr="001B04B8">
        <w:separator/>
      </w:r>
    </w:p>
  </w:endnote>
  <w:endnote w:type="continuationSeparator" w:id="0">
    <w:p w14:paraId="757B5D2F" w14:textId="77777777" w:rsidR="0085149C" w:rsidRPr="001B04B8" w:rsidRDefault="0085149C">
      <w:r w:rsidRPr="001B04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EF2E0" w14:textId="77777777" w:rsidR="00910BE8" w:rsidRPr="001B04B8" w:rsidRDefault="00910BE8" w:rsidP="00A6505A">
    <w:pPr>
      <w:pStyle w:val="EPFooter"/>
    </w:pPr>
    <w:r w:rsidRPr="001B04B8">
      <w:t>PE</w:t>
    </w:r>
    <w:r w:rsidRPr="001B04B8">
      <w:rPr>
        <w:rStyle w:val="HideTWBExt"/>
      </w:rPr>
      <w:t>&lt;</w:t>
    </w:r>
    <w:proofErr w:type="spellStart"/>
    <w:r w:rsidRPr="001B04B8">
      <w:rPr>
        <w:rStyle w:val="HideTWBExt"/>
      </w:rPr>
      <w:t>NoPE</w:t>
    </w:r>
    <w:proofErr w:type="spellEnd"/>
    <w:r w:rsidRPr="001B04B8">
      <w:rPr>
        <w:rStyle w:val="HideTWBExt"/>
      </w:rPr>
      <w:t>&gt;</w:t>
    </w:r>
    <w:r w:rsidRPr="001B04B8">
      <w:t>784.472</w:t>
    </w:r>
    <w:r w:rsidRPr="001B04B8">
      <w:rPr>
        <w:rStyle w:val="HideTWBExt"/>
      </w:rPr>
      <w:t>&lt;/</w:t>
    </w:r>
    <w:proofErr w:type="spellStart"/>
    <w:r w:rsidRPr="001B04B8">
      <w:rPr>
        <w:rStyle w:val="HideTWBExt"/>
      </w:rPr>
      <w:t>NoPE</w:t>
    </w:r>
    <w:proofErr w:type="spellEnd"/>
    <w:r w:rsidRPr="001B04B8">
      <w:rPr>
        <w:rStyle w:val="HideTWBExt"/>
      </w:rPr>
      <w:t>&gt;&lt;Version&gt;</w:t>
    </w:r>
    <w:r w:rsidRPr="001B04B8">
      <w:t>v02-00</w:t>
    </w:r>
    <w:r w:rsidRPr="001B04B8">
      <w:rPr>
        <w:rStyle w:val="HideTWBExt"/>
      </w:rPr>
      <w:t>&lt;/Version&gt;</w:t>
    </w:r>
    <w:r w:rsidRPr="001B04B8">
      <w:tab/>
    </w:r>
    <w:r w:rsidRPr="001B04B8">
      <w:fldChar w:fldCharType="begin"/>
    </w:r>
    <w:r w:rsidRPr="001B04B8">
      <w:instrText xml:space="preserve"> PAGE  \* MERGEFORMAT </w:instrText>
    </w:r>
    <w:r w:rsidRPr="001B04B8">
      <w:fldChar w:fldCharType="separate"/>
    </w:r>
    <w:r w:rsidRPr="001B04B8">
      <w:rPr>
        <w:noProof/>
      </w:rPr>
      <w:t>2</w:t>
    </w:r>
    <w:r w:rsidRPr="001B04B8">
      <w:fldChar w:fldCharType="end"/>
    </w:r>
    <w:r w:rsidRPr="001B04B8">
      <w:t>/</w:t>
    </w:r>
    <w:fldSimple w:instr=" NUMPAGES  \* MERGEFORMAT ">
      <w:r w:rsidRPr="001B04B8">
        <w:rPr>
          <w:noProof/>
        </w:rPr>
        <w:t>16</w:t>
      </w:r>
    </w:fldSimple>
    <w:r w:rsidRPr="001B04B8">
      <w:tab/>
    </w:r>
    <w:r w:rsidRPr="001B04B8">
      <w:rPr>
        <w:rStyle w:val="HideTWBExt"/>
      </w:rPr>
      <w:t>&lt;PathFdR&gt;</w:t>
    </w:r>
    <w:r w:rsidRPr="001B04B8">
      <w:t>RR\1339711HU.docx</w:t>
    </w:r>
    <w:r w:rsidRPr="001B04B8">
      <w:rPr>
        <w:rStyle w:val="HideTWBExt"/>
      </w:rPr>
      <w:t>&lt;/</w:t>
    </w:r>
    <w:proofErr w:type="spellStart"/>
    <w:r w:rsidRPr="001B04B8">
      <w:rPr>
        <w:rStyle w:val="HideTWBExt"/>
      </w:rPr>
      <w:t>PathFdR</w:t>
    </w:r>
    <w:proofErr w:type="spellEnd"/>
    <w:r w:rsidRPr="001B04B8">
      <w:rPr>
        <w:rStyle w:val="HideTWBExt"/>
      </w:rPr>
      <w:t>&gt;</w:t>
    </w:r>
  </w:p>
  <w:p w14:paraId="5DD84447" w14:textId="77777777" w:rsidR="00910BE8" w:rsidRPr="001B04B8" w:rsidRDefault="00910BE8" w:rsidP="00A6505A">
    <w:pPr>
      <w:pStyle w:val="EPFooter2"/>
    </w:pPr>
    <w:r w:rsidRPr="001B04B8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00FDA" w14:textId="35E52C0E" w:rsidR="00910BE8" w:rsidRPr="00254045" w:rsidRDefault="00910BE8" w:rsidP="00C313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47B4B" w14:textId="77777777" w:rsidR="00910BE8" w:rsidRPr="001B04B8" w:rsidRDefault="00910BE8" w:rsidP="00A6505A">
    <w:pPr>
      <w:pStyle w:val="EPFooter"/>
    </w:pPr>
    <w:r w:rsidRPr="001B04B8">
      <w:rPr>
        <w:rStyle w:val="HideTWBExt"/>
      </w:rPr>
      <w:t>&lt;PathFdR&gt;</w:t>
    </w:r>
    <w:r w:rsidRPr="001B04B8">
      <w:t>RR\1339711HU.docx</w:t>
    </w:r>
    <w:r w:rsidRPr="001B04B8">
      <w:rPr>
        <w:rStyle w:val="HideTWBExt"/>
      </w:rPr>
      <w:t>&lt;/</w:t>
    </w:r>
    <w:proofErr w:type="spellStart"/>
    <w:r w:rsidRPr="001B04B8">
      <w:rPr>
        <w:rStyle w:val="HideTWBExt"/>
      </w:rPr>
      <w:t>PathFdR</w:t>
    </w:r>
    <w:proofErr w:type="spellEnd"/>
    <w:r w:rsidRPr="001B04B8">
      <w:rPr>
        <w:rStyle w:val="HideTWBExt"/>
      </w:rPr>
      <w:t>&gt;</w:t>
    </w:r>
    <w:r w:rsidRPr="001B04B8">
      <w:tab/>
    </w:r>
    <w:r w:rsidRPr="001B04B8">
      <w:tab/>
      <w:t>PE</w:t>
    </w:r>
    <w:r w:rsidRPr="001B04B8">
      <w:rPr>
        <w:rStyle w:val="HideTWBExt"/>
      </w:rPr>
      <w:t>&lt;</w:t>
    </w:r>
    <w:proofErr w:type="spellStart"/>
    <w:r w:rsidRPr="001B04B8">
      <w:rPr>
        <w:rStyle w:val="HideTWBExt"/>
      </w:rPr>
      <w:t>NoPE</w:t>
    </w:r>
    <w:proofErr w:type="spellEnd"/>
    <w:r w:rsidRPr="001B04B8">
      <w:rPr>
        <w:rStyle w:val="HideTWBExt"/>
      </w:rPr>
      <w:t>&gt;</w:t>
    </w:r>
    <w:r w:rsidRPr="001B04B8">
      <w:t>784.472</w:t>
    </w:r>
    <w:r w:rsidRPr="001B04B8">
      <w:rPr>
        <w:rStyle w:val="HideTWBExt"/>
      </w:rPr>
      <w:t>&lt;/</w:t>
    </w:r>
    <w:proofErr w:type="spellStart"/>
    <w:r w:rsidRPr="001B04B8">
      <w:rPr>
        <w:rStyle w:val="HideTWBExt"/>
      </w:rPr>
      <w:t>NoPE</w:t>
    </w:r>
    <w:proofErr w:type="spellEnd"/>
    <w:r w:rsidRPr="001B04B8">
      <w:rPr>
        <w:rStyle w:val="HideTWBExt"/>
      </w:rPr>
      <w:t>&gt;&lt;Version&gt;</w:t>
    </w:r>
    <w:r w:rsidRPr="001B04B8">
      <w:t>v02-00</w:t>
    </w:r>
    <w:r w:rsidRPr="001B04B8">
      <w:rPr>
        <w:rStyle w:val="HideTWBExt"/>
      </w:rPr>
      <w:t>&lt;/Version&gt;</w:t>
    </w:r>
  </w:p>
  <w:p w14:paraId="421AE5B4" w14:textId="77777777" w:rsidR="00910BE8" w:rsidRPr="001B04B8" w:rsidRDefault="00910BE8" w:rsidP="00A6505A">
    <w:pPr>
      <w:pStyle w:val="EPFooter2"/>
    </w:pPr>
    <w:r w:rsidRPr="001B04B8">
      <w:t>HU</w:t>
    </w:r>
    <w:r w:rsidRPr="001B04B8">
      <w:tab/>
    </w:r>
    <w:r w:rsidRPr="001B04B8">
      <w:rPr>
        <w:b w:val="0"/>
        <w:i/>
        <w:color w:val="C0C0C0"/>
        <w:sz w:val="22"/>
      </w:rPr>
      <w:t>Egyesülve a sokféleségben</w:t>
    </w:r>
    <w:r w:rsidRPr="001B04B8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290F7" w14:textId="77777777" w:rsidR="00064002" w:rsidRPr="001B04B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EF9B" w14:textId="77777777" w:rsidR="00064002" w:rsidRPr="001B04B8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22749" w14:textId="77777777" w:rsidR="00064002" w:rsidRPr="001B04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58637" w14:textId="77777777" w:rsidR="0085149C" w:rsidRPr="001B04B8" w:rsidRDefault="0085149C">
      <w:r w:rsidRPr="001B04B8">
        <w:separator/>
      </w:r>
    </w:p>
  </w:footnote>
  <w:footnote w:type="continuationSeparator" w:id="0">
    <w:p w14:paraId="4CFEF4C5" w14:textId="77777777" w:rsidR="0085149C" w:rsidRPr="001B04B8" w:rsidRDefault="0085149C">
      <w:r w:rsidRPr="001B04B8">
        <w:continuationSeparator/>
      </w:r>
    </w:p>
  </w:footnote>
  <w:footnote w:id="1">
    <w:p w14:paraId="04C156E0" w14:textId="7A91B2D3" w:rsidR="00910BE8" w:rsidRPr="001B04B8" w:rsidRDefault="00910BE8" w:rsidP="001B04B8">
      <w:pPr>
        <w:pStyle w:val="FootnoteText"/>
        <w:ind w:left="567" w:hanging="567"/>
        <w:rPr>
          <w:sz w:val="24"/>
          <w:lang w:val="hu-HU"/>
        </w:rPr>
      </w:pPr>
      <w:r w:rsidRPr="001B04B8">
        <w:rPr>
          <w:rStyle w:val="FootnoteReference"/>
          <w:sz w:val="24"/>
          <w:lang w:val="hu-HU"/>
        </w:rPr>
        <w:footnoteRef/>
      </w:r>
      <w:r w:rsidR="001B04B8" w:rsidRPr="001B04B8">
        <w:rPr>
          <w:sz w:val="24"/>
          <w:lang w:val="hu-HU"/>
        </w:rPr>
        <w:t xml:space="preserve"> </w:t>
      </w:r>
      <w:r w:rsidR="001B04B8" w:rsidRPr="001B04B8">
        <w:rPr>
          <w:sz w:val="24"/>
          <w:lang w:val="hu-HU"/>
        </w:rPr>
        <w:tab/>
      </w:r>
      <w:r w:rsidRPr="001B04B8">
        <w:rPr>
          <w:sz w:val="24"/>
          <w:lang w:val="hu-HU"/>
        </w:rPr>
        <w:t xml:space="preserve">HL L 153., 2021.5.3., 48. o., ELI: </w:t>
      </w:r>
      <w:hyperlink r:id="rId1" w:history="1">
        <w:r w:rsidRPr="001B04B8">
          <w:rPr>
            <w:rStyle w:val="Hyperlink"/>
            <w:sz w:val="24"/>
            <w:lang w:val="hu-HU"/>
          </w:rPr>
          <w:t>http://data.europa.eu/eli/reg/2021/691/oj</w:t>
        </w:r>
      </w:hyperlink>
      <w:r w:rsidRPr="001B04B8">
        <w:rPr>
          <w:sz w:val="24"/>
          <w:lang w:val="hu-HU"/>
        </w:rPr>
        <w:t>.</w:t>
      </w:r>
    </w:p>
  </w:footnote>
  <w:footnote w:id="2">
    <w:p w14:paraId="082E8D45" w14:textId="77712A79" w:rsidR="00910BE8" w:rsidRPr="001B04B8" w:rsidRDefault="00910BE8" w:rsidP="001B04B8">
      <w:pPr>
        <w:pStyle w:val="FootnoteText"/>
        <w:ind w:left="567" w:hanging="567"/>
        <w:rPr>
          <w:sz w:val="24"/>
          <w:lang w:val="hu-HU"/>
        </w:rPr>
      </w:pPr>
      <w:r w:rsidRPr="001B04B8">
        <w:rPr>
          <w:rStyle w:val="FootnoteReference"/>
          <w:sz w:val="24"/>
          <w:lang w:val="hu-HU"/>
        </w:rPr>
        <w:footnoteRef/>
      </w:r>
      <w:r w:rsidR="001B04B8" w:rsidRPr="001B04B8">
        <w:rPr>
          <w:sz w:val="24"/>
          <w:shd w:val="clear" w:color="auto" w:fill="FFFFFF"/>
          <w:lang w:val="hu-HU"/>
        </w:rPr>
        <w:t xml:space="preserve"> </w:t>
      </w:r>
      <w:r w:rsidR="001B04B8" w:rsidRPr="001B04B8">
        <w:rPr>
          <w:sz w:val="24"/>
          <w:shd w:val="clear" w:color="auto" w:fill="FFFFFF"/>
          <w:lang w:val="hu-HU"/>
        </w:rPr>
        <w:tab/>
      </w:r>
      <w:r w:rsidRPr="001B04B8">
        <w:rPr>
          <w:sz w:val="24"/>
          <w:shd w:val="clear" w:color="auto" w:fill="FFFFFF"/>
          <w:lang w:val="hu-HU"/>
        </w:rPr>
        <w:t xml:space="preserve">A Tanács (EU, Euratom) 2024/765 rendelete (2024. február 29.) a 2021–2027-es időszakra vonatkozó többéves pénzügyi keretről szóló (EU, Euratom) 2020/2093 rendelet módosításáról (HL L, 2024/765, 2024.2.29., ELI: </w:t>
      </w:r>
      <w:r>
        <w:fldChar w:fldCharType="begin"/>
      </w:r>
      <w:r w:rsidRPr="006D3121">
        <w:rPr>
          <w:lang w:val="hu-HU"/>
        </w:rPr>
        <w:instrText>HYPERLINK "http://data.europa.eu/eli/reg/2024/765/oj"</w:instrText>
      </w:r>
      <w:r>
        <w:fldChar w:fldCharType="separate"/>
      </w:r>
      <w:r w:rsidRPr="001B04B8">
        <w:rPr>
          <w:rStyle w:val="Hyperlink"/>
          <w:sz w:val="24"/>
          <w:shd w:val="clear" w:color="auto" w:fill="FFFFFF"/>
          <w:lang w:val="hu-HU"/>
        </w:rPr>
        <w:t>http://data.europa.eu/eli/reg/2024/765/oj</w:t>
      </w:r>
      <w:r>
        <w:fldChar w:fldCharType="end"/>
      </w:r>
      <w:r w:rsidRPr="001B04B8">
        <w:rPr>
          <w:sz w:val="24"/>
          <w:shd w:val="clear" w:color="auto" w:fill="FFFFFF"/>
          <w:lang w:val="hu-HU"/>
        </w:rPr>
        <w:t>)</w:t>
      </w:r>
      <w:r w:rsidRPr="001B04B8">
        <w:rPr>
          <w:i/>
          <w:sz w:val="24"/>
          <w:shd w:val="clear" w:color="auto" w:fill="FFFFFF"/>
          <w:lang w:val="hu-HU"/>
        </w:rPr>
        <w:t>.</w:t>
      </w:r>
    </w:p>
  </w:footnote>
  <w:footnote w:id="3">
    <w:p w14:paraId="7CEE44E3" w14:textId="0773AE90" w:rsidR="00910BE8" w:rsidRPr="001B04B8" w:rsidRDefault="00910BE8" w:rsidP="001B04B8">
      <w:pPr>
        <w:pStyle w:val="FootnoteText"/>
        <w:ind w:left="567" w:hanging="567"/>
        <w:rPr>
          <w:sz w:val="24"/>
          <w:lang w:val="hu-HU"/>
        </w:rPr>
      </w:pPr>
      <w:r w:rsidRPr="001B04B8">
        <w:rPr>
          <w:rStyle w:val="FootnoteReference"/>
          <w:sz w:val="24"/>
          <w:lang w:val="hu-HU"/>
        </w:rPr>
        <w:footnoteRef/>
      </w:r>
      <w:r w:rsidR="001B04B8" w:rsidRPr="001B04B8">
        <w:rPr>
          <w:sz w:val="24"/>
          <w:lang w:val="hu-HU"/>
        </w:rPr>
        <w:t xml:space="preserve"> </w:t>
      </w:r>
      <w:r w:rsidR="001B04B8" w:rsidRPr="001B04B8">
        <w:rPr>
          <w:sz w:val="24"/>
          <w:lang w:val="hu-HU"/>
        </w:rPr>
        <w:tab/>
      </w:r>
      <w:r w:rsidRPr="001B04B8">
        <w:rPr>
          <w:sz w:val="24"/>
          <w:lang w:val="hu-HU"/>
        </w:rPr>
        <w:t xml:space="preserve">HL L 433. I, 2020.12.22., 11. o., ELI: </w:t>
      </w:r>
      <w:r>
        <w:fldChar w:fldCharType="begin"/>
      </w:r>
      <w:r w:rsidRPr="006D3121">
        <w:rPr>
          <w:lang w:val="fi-FI"/>
        </w:rPr>
        <w:instrText>HYPERLINK "http://data.europa.eu/eli/reg/2020/2093/oj"</w:instrText>
      </w:r>
      <w:r>
        <w:fldChar w:fldCharType="separate"/>
      </w:r>
      <w:r w:rsidRPr="001B04B8">
        <w:rPr>
          <w:rStyle w:val="Hyperlink"/>
          <w:sz w:val="24"/>
          <w:lang w:val="hu-HU"/>
        </w:rPr>
        <w:t>http://data.europa.eu/eli/reg/2020/2093/oj</w:t>
      </w:r>
      <w:r>
        <w:fldChar w:fldCharType="end"/>
      </w:r>
      <w:r w:rsidRPr="001B04B8">
        <w:rPr>
          <w:sz w:val="24"/>
          <w:lang w:val="hu-HU"/>
        </w:rPr>
        <w:t>.</w:t>
      </w:r>
    </w:p>
  </w:footnote>
  <w:footnote w:id="4">
    <w:p w14:paraId="5BD5BAD7" w14:textId="2304C271" w:rsidR="00910BE8" w:rsidRPr="001B04B8" w:rsidRDefault="00910BE8" w:rsidP="001B04B8">
      <w:pPr>
        <w:pStyle w:val="FootnoteText"/>
        <w:ind w:left="567" w:hanging="567"/>
        <w:rPr>
          <w:sz w:val="24"/>
          <w:lang w:val="hu-HU"/>
        </w:rPr>
      </w:pPr>
      <w:r w:rsidRPr="001B04B8">
        <w:rPr>
          <w:rStyle w:val="FootnoteReference"/>
          <w:sz w:val="24"/>
          <w:lang w:val="hu-HU"/>
        </w:rPr>
        <w:footnoteRef/>
      </w:r>
      <w:r w:rsidR="001B04B8" w:rsidRPr="001B04B8">
        <w:rPr>
          <w:sz w:val="24"/>
          <w:lang w:val="hu-HU"/>
        </w:rPr>
        <w:t xml:space="preserve"> </w:t>
      </w:r>
      <w:r w:rsidR="001B04B8" w:rsidRPr="001B04B8">
        <w:rPr>
          <w:sz w:val="24"/>
          <w:lang w:val="hu-HU"/>
        </w:rPr>
        <w:tab/>
      </w:r>
      <w:r w:rsidRPr="001B04B8">
        <w:rPr>
          <w:sz w:val="24"/>
          <w:lang w:val="hu-HU"/>
        </w:rPr>
        <w:t xml:space="preserve">HL L 433. I, 2020.12.22., 28. o., ELI: </w:t>
      </w:r>
      <w:r>
        <w:fldChar w:fldCharType="begin"/>
      </w:r>
      <w:r w:rsidRPr="006D3121">
        <w:rPr>
          <w:lang w:val="fi-FI"/>
        </w:rPr>
        <w:instrText>HYPERLINK "http://data.europa.eu/eli/agree_interinstit/2020/1222/oj"</w:instrText>
      </w:r>
      <w:r>
        <w:fldChar w:fldCharType="separate"/>
      </w:r>
      <w:r w:rsidRPr="001B04B8">
        <w:rPr>
          <w:rStyle w:val="Hyperlink"/>
          <w:sz w:val="24"/>
          <w:lang w:val="hu-HU"/>
        </w:rPr>
        <w:t>http://data.europa.eu/eli/agree_interinstit/2020/1222/oj</w:t>
      </w:r>
      <w:r>
        <w:fldChar w:fldCharType="end"/>
      </w:r>
      <w:r w:rsidRPr="001B04B8">
        <w:rPr>
          <w:sz w:val="24"/>
          <w:lang w:val="hu-HU"/>
        </w:rPr>
        <w:t>.</w:t>
      </w:r>
    </w:p>
  </w:footnote>
  <w:footnote w:id="5">
    <w:p w14:paraId="316DA60B" w14:textId="1D261EDA" w:rsidR="00910BE8" w:rsidRPr="001B04B8" w:rsidRDefault="00910BE8" w:rsidP="001B04B8">
      <w:pPr>
        <w:pStyle w:val="FootnoteText"/>
        <w:ind w:left="567" w:hanging="567"/>
        <w:rPr>
          <w:sz w:val="24"/>
          <w:lang w:val="hu-HU"/>
        </w:rPr>
      </w:pPr>
      <w:r w:rsidRPr="001B04B8">
        <w:rPr>
          <w:rStyle w:val="FootnoteReference"/>
          <w:sz w:val="24"/>
          <w:lang w:val="hu-HU"/>
        </w:rPr>
        <w:footnoteRef/>
      </w:r>
      <w:r w:rsidR="001B04B8" w:rsidRPr="001B04B8">
        <w:rPr>
          <w:sz w:val="24"/>
          <w:lang w:val="hu-HU"/>
        </w:rPr>
        <w:t xml:space="preserve"> </w:t>
      </w:r>
      <w:r w:rsidR="001B04B8" w:rsidRPr="001B04B8">
        <w:rPr>
          <w:sz w:val="24"/>
          <w:lang w:val="hu-HU"/>
        </w:rPr>
        <w:tab/>
      </w:r>
      <w:r w:rsidRPr="001B04B8">
        <w:rPr>
          <w:sz w:val="24"/>
          <w:lang w:val="hu-HU"/>
        </w:rPr>
        <w:t>Az EGAA-rendelet 3. cikke értelmében.</w:t>
      </w:r>
    </w:p>
  </w:footnote>
  <w:footnote w:id="6">
    <w:p w14:paraId="5687C8F7" w14:textId="228EEACB" w:rsidR="00910BE8" w:rsidRPr="001B04B8" w:rsidRDefault="00910BE8" w:rsidP="001B04B8">
      <w:pPr>
        <w:pStyle w:val="FootnoteText"/>
        <w:ind w:left="567" w:hanging="567"/>
        <w:rPr>
          <w:sz w:val="24"/>
          <w:lang w:val="hu-HU"/>
        </w:rPr>
      </w:pPr>
      <w:r w:rsidRPr="001B04B8">
        <w:rPr>
          <w:rStyle w:val="FootnoteReference"/>
          <w:sz w:val="24"/>
          <w:lang w:val="hu-HU"/>
        </w:rPr>
        <w:footnoteRef/>
      </w:r>
      <w:r w:rsidR="001B04B8" w:rsidRPr="001B04B8">
        <w:rPr>
          <w:sz w:val="24"/>
          <w:lang w:val="hu-HU"/>
        </w:rPr>
        <w:t xml:space="preserve"> </w:t>
      </w:r>
      <w:r w:rsidR="001B04B8" w:rsidRPr="001B04B8">
        <w:rPr>
          <w:sz w:val="24"/>
          <w:lang w:val="hu-HU"/>
        </w:rPr>
        <w:tab/>
      </w:r>
      <w:r w:rsidRPr="001B04B8">
        <w:rPr>
          <w:sz w:val="24"/>
          <w:lang w:val="hu-HU"/>
        </w:rPr>
        <w:t>Az EGAA-rendelet 8. cikke.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1FF1A" w14:textId="77777777" w:rsidR="00064002" w:rsidRPr="001B04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ADFC" w14:textId="77777777" w:rsidR="00064002" w:rsidRPr="001B04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DB500" w14:textId="77777777" w:rsidR="00064002" w:rsidRPr="001B04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84574163">
    <w:abstractNumId w:val="9"/>
  </w:num>
  <w:num w:numId="2" w16cid:durableId="2003509608">
    <w:abstractNumId w:val="9"/>
  </w:num>
  <w:num w:numId="3" w16cid:durableId="1048653116">
    <w:abstractNumId w:val="7"/>
  </w:num>
  <w:num w:numId="4" w16cid:durableId="1707557032">
    <w:abstractNumId w:val="7"/>
  </w:num>
  <w:num w:numId="5" w16cid:durableId="1520849002">
    <w:abstractNumId w:val="6"/>
  </w:num>
  <w:num w:numId="6" w16cid:durableId="1436435245">
    <w:abstractNumId w:val="6"/>
  </w:num>
  <w:num w:numId="7" w16cid:durableId="811944115">
    <w:abstractNumId w:val="5"/>
  </w:num>
  <w:num w:numId="8" w16cid:durableId="1065757506">
    <w:abstractNumId w:val="5"/>
  </w:num>
  <w:num w:numId="9" w16cid:durableId="708577718">
    <w:abstractNumId w:val="4"/>
  </w:num>
  <w:num w:numId="10" w16cid:durableId="1088501416">
    <w:abstractNumId w:val="4"/>
  </w:num>
  <w:num w:numId="11" w16cid:durableId="418865420">
    <w:abstractNumId w:val="8"/>
  </w:num>
  <w:num w:numId="12" w16cid:durableId="160048365">
    <w:abstractNumId w:val="8"/>
  </w:num>
  <w:num w:numId="13" w16cid:durableId="1899590424">
    <w:abstractNumId w:val="3"/>
  </w:num>
  <w:num w:numId="14" w16cid:durableId="773749292">
    <w:abstractNumId w:val="3"/>
  </w:num>
  <w:num w:numId="15" w16cid:durableId="1939560766">
    <w:abstractNumId w:val="2"/>
  </w:num>
  <w:num w:numId="16" w16cid:durableId="1280525477">
    <w:abstractNumId w:val="2"/>
  </w:num>
  <w:num w:numId="17" w16cid:durableId="1198661626">
    <w:abstractNumId w:val="1"/>
  </w:num>
  <w:num w:numId="18" w16cid:durableId="1757633565">
    <w:abstractNumId w:val="1"/>
  </w:num>
  <w:num w:numId="19" w16cid:durableId="2125877886">
    <w:abstractNumId w:val="0"/>
  </w:num>
  <w:num w:numId="20" w16cid:durableId="2066181316">
    <w:abstractNumId w:val="0"/>
  </w:num>
  <w:num w:numId="21" w16cid:durableId="1296910040">
    <w:abstractNumId w:val="9"/>
  </w:num>
  <w:num w:numId="22" w16cid:durableId="757947135">
    <w:abstractNumId w:val="7"/>
  </w:num>
  <w:num w:numId="23" w16cid:durableId="1021737602">
    <w:abstractNumId w:val="6"/>
  </w:num>
  <w:num w:numId="24" w16cid:durableId="1718355327">
    <w:abstractNumId w:val="5"/>
  </w:num>
  <w:num w:numId="25" w16cid:durableId="371266199">
    <w:abstractNumId w:val="4"/>
  </w:num>
  <w:num w:numId="26" w16cid:durableId="670447569">
    <w:abstractNumId w:val="8"/>
  </w:num>
  <w:num w:numId="27" w16cid:durableId="1027368755">
    <w:abstractNumId w:val="3"/>
  </w:num>
  <w:num w:numId="28" w16cid:durableId="498663643">
    <w:abstractNumId w:val="2"/>
  </w:num>
  <w:num w:numId="29" w16cid:durableId="8261758">
    <w:abstractNumId w:val="1"/>
  </w:num>
  <w:num w:numId="30" w16cid:durableId="492532110">
    <w:abstractNumId w:val="0"/>
  </w:num>
  <w:num w:numId="31" w16cid:durableId="748113876">
    <w:abstractNumId w:val="9"/>
  </w:num>
  <w:num w:numId="32" w16cid:durableId="1557820086">
    <w:abstractNumId w:val="7"/>
  </w:num>
  <w:num w:numId="33" w16cid:durableId="250896566">
    <w:abstractNumId w:val="6"/>
  </w:num>
  <w:num w:numId="34" w16cid:durableId="303702651">
    <w:abstractNumId w:val="5"/>
  </w:num>
  <w:num w:numId="35" w16cid:durableId="899366145">
    <w:abstractNumId w:val="4"/>
  </w:num>
  <w:num w:numId="36" w16cid:durableId="175771922">
    <w:abstractNumId w:val="8"/>
  </w:num>
  <w:num w:numId="37" w16cid:durableId="1803111009">
    <w:abstractNumId w:val="3"/>
  </w:num>
  <w:num w:numId="38" w16cid:durableId="1076243496">
    <w:abstractNumId w:val="2"/>
  </w:num>
  <w:num w:numId="39" w16cid:durableId="1724059070">
    <w:abstractNumId w:val="1"/>
  </w:num>
  <w:num w:numId="40" w16cid:durableId="2033455998">
    <w:abstractNumId w:val="0"/>
  </w:num>
  <w:num w:numId="41" w16cid:durableId="563028402">
    <w:abstractNumId w:val="10"/>
  </w:num>
  <w:num w:numId="42" w16cid:durableId="94247935">
    <w:abstractNumId w:val="10"/>
  </w:num>
  <w:num w:numId="43" w16cid:durableId="678386936">
    <w:abstractNumId w:val="10"/>
  </w:num>
  <w:num w:numId="44" w16cid:durableId="11552931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0/2026"/>
    <w:docVar w:name="dvlangue" w:val="HU"/>
    <w:docVar w:name="dvnumam" w:val="0"/>
    <w:docVar w:name="dvpe" w:val="784.472"/>
    <w:docVar w:name="dvrapporteur" w:val="Előadó: "/>
    <w:docVar w:name="dvtitre" w:val="Az Európai Parlament 2026. március ...-i állásfoglalása Ausztria EGF/2025/005 AT/KTM referenciaszámú kérelme nyomán az elbocsátott munkavállalók támogatását szolgáló Európai Globalizációs Alkalmazkodási Alap igénybevételéről szóló európai parlamenti és tanácsi határozatra irányuló javaslatról(COM(2026)0010 – C10-0026/2026 – 2026/0037(BUD))"/>
  </w:docVars>
  <w:rsids>
    <w:rsidRoot w:val="0085149C"/>
    <w:rsid w:val="00002272"/>
    <w:rsid w:val="00005CC4"/>
    <w:rsid w:val="00064002"/>
    <w:rsid w:val="000677B9"/>
    <w:rsid w:val="000831BA"/>
    <w:rsid w:val="000A42CC"/>
    <w:rsid w:val="000E7DD9"/>
    <w:rsid w:val="0010095E"/>
    <w:rsid w:val="00125B37"/>
    <w:rsid w:val="00187494"/>
    <w:rsid w:val="001B04B8"/>
    <w:rsid w:val="001D7A13"/>
    <w:rsid w:val="001F32AE"/>
    <w:rsid w:val="0025404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3121"/>
    <w:rsid w:val="006F74FA"/>
    <w:rsid w:val="00731ADD"/>
    <w:rsid w:val="00734777"/>
    <w:rsid w:val="00747932"/>
    <w:rsid w:val="00751A4A"/>
    <w:rsid w:val="00756632"/>
    <w:rsid w:val="00762C74"/>
    <w:rsid w:val="00781BF6"/>
    <w:rsid w:val="00786EC0"/>
    <w:rsid w:val="007D1690"/>
    <w:rsid w:val="007E22AD"/>
    <w:rsid w:val="00817416"/>
    <w:rsid w:val="00842779"/>
    <w:rsid w:val="0085149C"/>
    <w:rsid w:val="00865F67"/>
    <w:rsid w:val="00881A7B"/>
    <w:rsid w:val="008840E5"/>
    <w:rsid w:val="00887B3E"/>
    <w:rsid w:val="008C2AC6"/>
    <w:rsid w:val="00910BE8"/>
    <w:rsid w:val="009252A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84E"/>
    <w:rsid w:val="00AE0928"/>
    <w:rsid w:val="00AF3B82"/>
    <w:rsid w:val="00B02749"/>
    <w:rsid w:val="00B12E95"/>
    <w:rsid w:val="00B22876"/>
    <w:rsid w:val="00B558F0"/>
    <w:rsid w:val="00BD48FE"/>
    <w:rsid w:val="00BD7BD8"/>
    <w:rsid w:val="00BE02A9"/>
    <w:rsid w:val="00BE6ADC"/>
    <w:rsid w:val="00C05BFE"/>
    <w:rsid w:val="00C23CD4"/>
    <w:rsid w:val="00C31302"/>
    <w:rsid w:val="00C4366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20E4"/>
    <w:rsid w:val="00EB006A"/>
    <w:rsid w:val="00EB14FC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D73112"/>
  <w15:chartTrackingRefBased/>
  <w15:docId w15:val="{DB085966-B50C-4236-A09F-AF639752E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10BE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910BE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910BE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10B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10BE8"/>
    <w:rPr>
      <w:sz w:val="24"/>
      <w:lang w:val="hu-HU"/>
    </w:rPr>
  </w:style>
  <w:style w:type="paragraph" w:customStyle="1" w:styleId="EPFooter">
    <w:name w:val="EPFooter"/>
    <w:basedOn w:val="Normal"/>
    <w:rsid w:val="00910BE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10BE8"/>
    <w:pPr>
      <w:spacing w:before="480" w:after="240"/>
    </w:pPr>
  </w:style>
  <w:style w:type="character" w:styleId="Hyperlink">
    <w:name w:val="Hyperlink"/>
    <w:basedOn w:val="DefaultParagraphFont"/>
    <w:uiPriority w:val="99"/>
    <w:rsid w:val="00910BE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10BE8"/>
    <w:rPr>
      <w:sz w:val="24"/>
      <w:lang w:val="hu-HU"/>
    </w:rPr>
  </w:style>
  <w:style w:type="character" w:customStyle="1" w:styleId="PageHeadingChar">
    <w:name w:val="PageHeading Char"/>
    <w:basedOn w:val="DefaultParagraphFont"/>
    <w:link w:val="PageHeading"/>
    <w:rsid w:val="00910BE8"/>
    <w:rPr>
      <w:rFonts w:ascii="Arial" w:hAnsi="Arial" w:cs="Arial"/>
      <w:b/>
      <w:sz w:val="24"/>
      <w:lang w:val="hu-HU"/>
    </w:rPr>
  </w:style>
  <w:style w:type="paragraph" w:styleId="Revision">
    <w:name w:val="Revision"/>
    <w:hidden/>
    <w:uiPriority w:val="99"/>
    <w:semiHidden/>
    <w:rsid w:val="00254045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25404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2540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54045"/>
    <w:rPr>
      <w:sz w:val="24"/>
      <w:lang w:val="hu-HU"/>
    </w:rPr>
  </w:style>
  <w:style w:type="paragraph" w:styleId="NormalWeb">
    <w:name w:val="Normal (Web)"/>
    <w:basedOn w:val="Normal"/>
    <w:uiPriority w:val="99"/>
    <w:unhideWhenUsed/>
    <w:rsid w:val="006D3121"/>
    <w:pPr>
      <w:widowControl/>
      <w:spacing w:before="100" w:beforeAutospacing="1" w:after="100" w:afterAutospacing="1"/>
    </w:pPr>
    <w:rPr>
      <w:rFonts w:eastAsiaTheme="minorEastAsia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1/6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1385</Words>
  <Characters>10107</Characters>
  <Application>Microsoft Office Word</Application>
  <DocSecurity>0</DocSecurity>
  <Lines>187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2026-05-12T09:16:00Z</dcterms:created>
  <dcterms:modified xsi:type="dcterms:W3CDTF">2026-05-12T09:16:00Z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P10_TA(2026)0103_</vt:lpwstr>
  </property>
  <property fmtid="{D5CDD505-2E9C-101B-9397-08002B2CF9AE}" pid="4" name="&lt;Type&gt;">
    <vt:lpwstr>RR</vt:lpwstr>
  </property>
</Properties>
</file>