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1E0F" w14:paraId="46694AC4" w14:textId="77777777" w:rsidTr="0010095E">
        <w:trPr>
          <w:trHeight w:hRule="exact" w:val="1418"/>
        </w:trPr>
        <w:tc>
          <w:tcPr>
            <w:tcW w:w="6804" w:type="dxa"/>
            <w:shd w:val="clear" w:color="auto" w:fill="auto"/>
            <w:vAlign w:val="center"/>
          </w:tcPr>
          <w:p w14:paraId="601E036E" w14:textId="77777777" w:rsidR="00751A4A" w:rsidRPr="004B1E0F" w:rsidRDefault="00E80455" w:rsidP="0010095E">
            <w:pPr>
              <w:pStyle w:val="EPName"/>
            </w:pPr>
            <w:r w:rsidRPr="004B1E0F">
              <w:t>Europos Parlamentas</w:t>
            </w:r>
          </w:p>
          <w:p w14:paraId="7A766B86" w14:textId="77777777" w:rsidR="00751A4A" w:rsidRPr="004B1E0F" w:rsidRDefault="005F1B17" w:rsidP="005F1B17">
            <w:pPr>
              <w:pStyle w:val="EPTerm"/>
              <w:rPr>
                <w:rStyle w:val="HideTWBExt"/>
                <w:noProof w:val="0"/>
                <w:vanish w:val="0"/>
                <w:color w:val="auto"/>
              </w:rPr>
            </w:pPr>
            <w:r w:rsidRPr="004B1E0F">
              <w:t>2024</w:t>
            </w:r>
            <w:r w:rsidR="00817416" w:rsidRPr="004B1E0F">
              <w:t>-202</w:t>
            </w:r>
            <w:r w:rsidRPr="004B1E0F">
              <w:t>9</w:t>
            </w:r>
          </w:p>
        </w:tc>
        <w:tc>
          <w:tcPr>
            <w:tcW w:w="2268" w:type="dxa"/>
            <w:shd w:val="clear" w:color="auto" w:fill="auto"/>
          </w:tcPr>
          <w:p w14:paraId="2C07E858" w14:textId="77777777" w:rsidR="00751A4A" w:rsidRPr="004B1E0F" w:rsidRDefault="00187494" w:rsidP="0010095E">
            <w:pPr>
              <w:pStyle w:val="EPLogo"/>
            </w:pPr>
            <w:r w:rsidRPr="004B1E0F">
              <w:rPr>
                <w:noProof/>
                <w:lang w:eastAsia="ja-JP"/>
              </w:rPr>
              <w:drawing>
                <wp:inline distT="0" distB="0" distL="0" distR="0" wp14:anchorId="350C9E6A" wp14:editId="402607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61007" w14:textId="77777777" w:rsidR="00D058B8" w:rsidRPr="004B1E0F" w:rsidRDefault="00D058B8" w:rsidP="004C5D52">
      <w:pPr>
        <w:pStyle w:val="LineTop"/>
      </w:pPr>
    </w:p>
    <w:p w14:paraId="7681B9AD" w14:textId="77777777" w:rsidR="00680577" w:rsidRPr="004B1E0F" w:rsidRDefault="00E80455" w:rsidP="00680577">
      <w:pPr>
        <w:pStyle w:val="EPBodyTA1"/>
      </w:pPr>
      <w:r w:rsidRPr="004B1E0F">
        <w:t>PRIIMTI TEKSTAI</w:t>
      </w:r>
    </w:p>
    <w:p w14:paraId="69BD1995" w14:textId="77777777" w:rsidR="00D058B8" w:rsidRPr="004B1E0F" w:rsidRDefault="00D058B8" w:rsidP="00D058B8">
      <w:pPr>
        <w:pStyle w:val="LineBottom"/>
      </w:pPr>
    </w:p>
    <w:p w14:paraId="168B4D29" w14:textId="7A88D604" w:rsidR="00E80455" w:rsidRPr="004B1E0F" w:rsidRDefault="00E80455" w:rsidP="00E80455">
      <w:pPr>
        <w:pStyle w:val="ATHeading1"/>
      </w:pPr>
      <w:bookmarkStart w:id="0" w:name="TANumber"/>
      <w:r w:rsidRPr="004B1E0F">
        <w:t>P10_TA(2026)0</w:t>
      </w:r>
      <w:r w:rsidR="00511CD3">
        <w:t>103</w:t>
      </w:r>
      <w:bookmarkEnd w:id="0"/>
    </w:p>
    <w:p w14:paraId="791BE42D" w14:textId="00402080" w:rsidR="00E80455" w:rsidRPr="004B1E0F" w:rsidRDefault="00361ACA" w:rsidP="00361ACA">
      <w:pPr>
        <w:pStyle w:val="ATHeading2"/>
      </w:pPr>
      <w:bookmarkStart w:id="1" w:name="title"/>
      <w:r w:rsidRPr="00511CD3">
        <w:t>Europos prisitaikymo prie globalizacijos padarinių fondo atleistiems darbuotojams lėšų mobilizavimas: Austrijos paraiška EGF/2025/005 AT/KTM</w:t>
      </w:r>
      <w:bookmarkEnd w:id="1"/>
    </w:p>
    <w:p w14:paraId="3E0D7AB9" w14:textId="77777777" w:rsidR="00E80455" w:rsidRPr="004B1E0F" w:rsidRDefault="00E80455" w:rsidP="00E80455">
      <w:pPr>
        <w:rPr>
          <w:i/>
          <w:vanish/>
        </w:rPr>
      </w:pPr>
      <w:r w:rsidRPr="004B1E0F">
        <w:rPr>
          <w:i/>
        </w:rPr>
        <w:fldChar w:fldCharType="begin"/>
      </w:r>
      <w:r w:rsidRPr="004B1E0F">
        <w:rPr>
          <w:i/>
        </w:rPr>
        <w:instrText xml:space="preserve"> TC"(</w:instrText>
      </w:r>
      <w:bookmarkStart w:id="2" w:name="DocNumber"/>
      <w:r w:rsidRPr="004B1E0F">
        <w:rPr>
          <w:i/>
        </w:rPr>
        <w:instrText>A10-0060/2026</w:instrText>
      </w:r>
      <w:bookmarkEnd w:id="2"/>
      <w:r w:rsidRPr="004B1E0F">
        <w:rPr>
          <w:i/>
        </w:rPr>
        <w:instrText xml:space="preserve"> - Pranešėjas: Janusz Lewandowski )"\l3 \n&gt; \* MERGEFORMAT </w:instrText>
      </w:r>
      <w:r w:rsidRPr="004B1E0F">
        <w:rPr>
          <w:i/>
        </w:rPr>
        <w:fldChar w:fldCharType="end"/>
      </w:r>
    </w:p>
    <w:p w14:paraId="2629E619" w14:textId="77777777" w:rsidR="00E80455" w:rsidRPr="004B1E0F" w:rsidRDefault="00E80455" w:rsidP="00E80455">
      <w:pPr>
        <w:rPr>
          <w:vanish/>
        </w:rPr>
      </w:pPr>
      <w:bookmarkStart w:id="3" w:name="Commission"/>
      <w:r w:rsidRPr="004B1E0F">
        <w:rPr>
          <w:vanish/>
        </w:rPr>
        <w:t>Biudžeto komitetas</w:t>
      </w:r>
      <w:bookmarkEnd w:id="3"/>
    </w:p>
    <w:p w14:paraId="306D0D39" w14:textId="77777777" w:rsidR="00E80455" w:rsidRPr="004B1E0F" w:rsidRDefault="00E80455" w:rsidP="00E80455">
      <w:pPr>
        <w:rPr>
          <w:vanish/>
        </w:rPr>
      </w:pPr>
      <w:bookmarkStart w:id="4" w:name="PE"/>
      <w:r w:rsidRPr="004B1E0F">
        <w:rPr>
          <w:vanish/>
        </w:rPr>
        <w:t>PE784.472</w:t>
      </w:r>
      <w:bookmarkEnd w:id="4"/>
    </w:p>
    <w:p w14:paraId="62A109C3" w14:textId="03C5EFAB" w:rsidR="00E80455" w:rsidRPr="004B1E0F" w:rsidRDefault="00E80455" w:rsidP="00E80455">
      <w:pPr>
        <w:pStyle w:val="ATHeading3"/>
      </w:pPr>
      <w:bookmarkStart w:id="5" w:name="Sujet"/>
      <w:r w:rsidRPr="004B1E0F">
        <w:t xml:space="preserve">2026 m. </w:t>
      </w:r>
      <w:r w:rsidR="005264D0">
        <w:t>kovo</w:t>
      </w:r>
      <w:r w:rsidR="005264D0" w:rsidRPr="004B1E0F">
        <w:t xml:space="preserve"> </w:t>
      </w:r>
      <w:r w:rsidR="005264D0">
        <w:t>26</w:t>
      </w:r>
      <w:r w:rsidR="005264D0" w:rsidRPr="004B1E0F">
        <w:t xml:space="preserve"> </w:t>
      </w:r>
      <w:r w:rsidRPr="004B1E0F">
        <w:t>d. Europos Parlamento rezoliucija dėl pasiūlymo dėl Europos Parlamento ir Tarybos sprendimo dėl Europos prisitaikymo prie globalizacijos padarinių fondo atleistiems darbuotojams lėšų mobilizavimo pagal Austrijos paraišką „EGF/2025/005 AT/KTM“</w:t>
      </w:r>
      <w:bookmarkEnd w:id="5"/>
      <w:r w:rsidRPr="004B1E0F">
        <w:t xml:space="preserve"> </w:t>
      </w:r>
      <w:bookmarkStart w:id="6" w:name="References"/>
      <w:r w:rsidRPr="004B1E0F">
        <w:t>(COM(2026)0010 – C10-0026/2026 – 2026/0037(BUD))</w:t>
      </w:r>
      <w:bookmarkEnd w:id="6"/>
    </w:p>
    <w:p w14:paraId="7F2FD511" w14:textId="77777777" w:rsidR="00BB5828" w:rsidRPr="004B1E0F" w:rsidRDefault="00BB5828" w:rsidP="00BB5828">
      <w:pPr>
        <w:pStyle w:val="EPComma"/>
        <w:rPr>
          <w:noProof/>
        </w:rPr>
      </w:pPr>
      <w:r w:rsidRPr="004B1E0F">
        <w:rPr>
          <w:i/>
        </w:rPr>
        <w:t>Europos Parlamentas</w:t>
      </w:r>
      <w:r w:rsidRPr="004B1E0F">
        <w:t>,</w:t>
      </w:r>
    </w:p>
    <w:p w14:paraId="690DE595" w14:textId="77777777" w:rsidR="00BB5828" w:rsidRPr="004B1E0F" w:rsidRDefault="00BB5828" w:rsidP="00BB5828">
      <w:pPr>
        <w:pStyle w:val="NormalHanging12a"/>
        <w:rPr>
          <w:noProof/>
        </w:rPr>
      </w:pPr>
      <w:r w:rsidRPr="004B1E0F">
        <w:t>–</w:t>
      </w:r>
      <w:r w:rsidRPr="004B1E0F">
        <w:tab/>
        <w:t>atsižvelgdamas į Komisijos pasiūlymą Europos Parlamentui ir Tarybai (COM(2026)0010 – C10-0026/2026),</w:t>
      </w:r>
    </w:p>
    <w:p w14:paraId="552D816F" w14:textId="77777777" w:rsidR="00BB5828" w:rsidRPr="004B1E0F" w:rsidRDefault="00BB5828" w:rsidP="00BB5828">
      <w:pPr>
        <w:pStyle w:val="NormalHanging12a"/>
        <w:rPr>
          <w:noProof/>
        </w:rPr>
      </w:pPr>
      <w:r w:rsidRPr="004B1E0F">
        <w:t>–</w:t>
      </w:r>
      <w:r w:rsidRPr="004B1E0F">
        <w:tab/>
        <w:t>atsižvelgdamas į 2021 m. balandžio 28 d. Europos Parlamento ir Tarybos reglamentą (ES) 2021/691 dėl Europos prisitaikymo prie globalizacijos padarinių fondo atleistiems darbuotojams (EGF), kuriuo panaikinamas Reglamentas (ES) Nr. 1309/2013</w:t>
      </w:r>
      <w:r w:rsidRPr="004B1E0F">
        <w:rPr>
          <w:noProof/>
          <w:vertAlign w:val="superscript"/>
        </w:rPr>
        <w:footnoteReference w:id="1"/>
      </w:r>
      <w:r w:rsidRPr="004B1E0F">
        <w:t xml:space="preserve"> (toliau – EGF reglamentas), </w:t>
      </w:r>
    </w:p>
    <w:p w14:paraId="4DCB6646" w14:textId="379424AB" w:rsidR="00BB5828" w:rsidRPr="004B1E0F" w:rsidRDefault="00BB5828" w:rsidP="00BB5828">
      <w:pPr>
        <w:pStyle w:val="NormalHanging12a"/>
        <w:rPr>
          <w:noProof/>
        </w:rPr>
      </w:pPr>
      <w:r w:rsidRPr="004B1E0F">
        <w:t>–</w:t>
      </w:r>
      <w:r w:rsidRPr="004B1E0F">
        <w:tab/>
        <w:t>atsižvelgdamas į 2020 m. gruodžio 17 d. Tarybos reglamentą (ES, Euratomas) 2020/2093, kuriuo nustatoma 2021–2027 m. daugiametė finansinė programa</w:t>
      </w:r>
      <w:r w:rsidRPr="004B1E0F">
        <w:rPr>
          <w:noProof/>
          <w:vertAlign w:val="superscript"/>
        </w:rPr>
        <w:footnoteReference w:id="2"/>
      </w:r>
      <w:r w:rsidRPr="004B1E0F">
        <w:t>, su pakeitimais, padarytais Reglamentu (ES, Euratomas) 2024/765</w:t>
      </w:r>
      <w:r w:rsidRPr="004B1E0F">
        <w:rPr>
          <w:noProof/>
          <w:vertAlign w:val="superscript"/>
        </w:rPr>
        <w:footnoteReference w:id="3"/>
      </w:r>
      <w:r w:rsidRPr="004B1E0F">
        <w:t xml:space="preserve"> (toliau –</w:t>
      </w:r>
      <w:r w:rsidR="00F62F30">
        <w:t xml:space="preserve"> </w:t>
      </w:r>
      <w:r w:rsidRPr="004B1E0F">
        <w:t xml:space="preserve">DFP reglamentas), ypač į jo 8 straipsnį, </w:t>
      </w:r>
    </w:p>
    <w:p w14:paraId="0F1F7B4D" w14:textId="77777777" w:rsidR="00BB5828" w:rsidRPr="004B1E0F" w:rsidRDefault="00BB5828" w:rsidP="00BB5828">
      <w:pPr>
        <w:pStyle w:val="NormalHanging12a"/>
        <w:rPr>
          <w:noProof/>
        </w:rPr>
      </w:pPr>
      <w:r w:rsidRPr="004B1E0F">
        <w:t>–</w:t>
      </w:r>
      <w:r w:rsidRPr="004B1E0F">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4B1E0F">
        <w:rPr>
          <w:noProof/>
          <w:vertAlign w:val="superscript"/>
        </w:rPr>
        <w:footnoteReference w:id="4"/>
      </w:r>
      <w:r w:rsidRPr="004B1E0F">
        <w:t xml:space="preserve">, ypač į </w:t>
      </w:r>
      <w:r w:rsidRPr="004B1E0F">
        <w:lastRenderedPageBreak/>
        <w:t>jo 9 punktą,</w:t>
      </w:r>
    </w:p>
    <w:p w14:paraId="45C9F3B7" w14:textId="77777777" w:rsidR="00BB5828" w:rsidRPr="004B1E0F" w:rsidRDefault="00BB5828" w:rsidP="00BB5828">
      <w:pPr>
        <w:pStyle w:val="NormalHanging12a"/>
        <w:rPr>
          <w:noProof/>
        </w:rPr>
      </w:pPr>
      <w:r w:rsidRPr="004B1E0F">
        <w:t>–</w:t>
      </w:r>
      <w:r w:rsidRPr="004B1E0F">
        <w:tab/>
        <w:t>atsižvelgdamas į Europos socialinių teisių ramstį,</w:t>
      </w:r>
    </w:p>
    <w:p w14:paraId="6F979CE7" w14:textId="77777777" w:rsidR="00BB5828" w:rsidRPr="004B1E0F" w:rsidRDefault="00BB5828" w:rsidP="00BB5828">
      <w:pPr>
        <w:pStyle w:val="NormalHanging12a"/>
        <w:rPr>
          <w:noProof/>
        </w:rPr>
      </w:pPr>
      <w:r w:rsidRPr="004B1E0F">
        <w:t>–</w:t>
      </w:r>
      <w:r w:rsidRPr="004B1E0F">
        <w:tab/>
        <w:t>atsižvelgdamas į Užimtumo ir socialinių reikalų komiteto nuomonę,</w:t>
      </w:r>
    </w:p>
    <w:p w14:paraId="266B3990" w14:textId="77777777" w:rsidR="00BB5828" w:rsidRPr="004B1E0F" w:rsidRDefault="00BB5828" w:rsidP="00BB5828">
      <w:pPr>
        <w:pStyle w:val="NormalHanging12a"/>
        <w:rPr>
          <w:noProof/>
        </w:rPr>
      </w:pPr>
      <w:r w:rsidRPr="004B1E0F">
        <w:t>–</w:t>
      </w:r>
      <w:r w:rsidRPr="004B1E0F">
        <w:tab/>
        <w:t>atsižvelgdamas į Biudžeto komiteto pranešimą (A10-0060/2026),</w:t>
      </w:r>
    </w:p>
    <w:p w14:paraId="7A8C15A9" w14:textId="77777777" w:rsidR="00BB5828" w:rsidRPr="004B1E0F" w:rsidRDefault="00BB5828" w:rsidP="00BB5828">
      <w:pPr>
        <w:pStyle w:val="NormalHanging12a"/>
        <w:rPr>
          <w:noProof/>
        </w:rPr>
      </w:pPr>
      <w:r w:rsidRPr="004B1E0F">
        <w:t>A.</w:t>
      </w:r>
      <w:r w:rsidRPr="004B1E0F">
        <w:tab/>
        <w:t>kadangi Sąjunga, siekdama teikti papildomą paramą darbuotojams, nukentėjusiems dėl esminių struktūrinių pasaulio prekybos sistemos įvykių ir pokyčių, ir padėti jiems vėl integruotis į darbo rinką, nustatė teisėkūros ir biudžetines priemones; kadangi šią pagalbą sudaro darbuotojams teikiama finansinė parama;</w:t>
      </w:r>
    </w:p>
    <w:p w14:paraId="6B27F81E" w14:textId="46AD8391" w:rsidR="00BB5828" w:rsidRPr="004B1E0F" w:rsidRDefault="00BB5828" w:rsidP="00BB5828">
      <w:pPr>
        <w:pStyle w:val="NormalHanging12a"/>
        <w:rPr>
          <w:noProof/>
        </w:rPr>
      </w:pPr>
      <w:r w:rsidRPr="004B1E0F">
        <w:t>B.</w:t>
      </w:r>
      <w:r w:rsidRPr="004B1E0F">
        <w:tab/>
        <w:t xml:space="preserve">kadangi Austrija pateikė paraišką „EGF/2025/005 AT/KTM“ dėl finansinės paramos iš EGF po to, kai iš įmonės „KTM </w:t>
      </w:r>
      <w:proofErr w:type="spellStart"/>
      <w:r w:rsidRPr="004B1E0F">
        <w:t>Gruppe</w:t>
      </w:r>
      <w:proofErr w:type="spellEnd"/>
      <w:r w:rsidRPr="004B1E0F">
        <w:t>“ (toliau – KTM), veikiančioje ekonomikos sektoriuje, priskiriamame NACE 2 red. 30 skyriui (Kitų transporto priemonių ir įrangos gamyba)</w:t>
      </w:r>
      <w:r w:rsidR="009C7CF3">
        <w:t>,</w:t>
      </w:r>
      <w:r w:rsidRPr="004B1E0F">
        <w:t xml:space="preserve"> Aukštutinės Austrijos (AT31) regione buvo atleisti 1 488 darbuotojai</w:t>
      </w:r>
      <w:r w:rsidRPr="004B1E0F">
        <w:rPr>
          <w:noProof/>
          <w:vertAlign w:val="superscript"/>
        </w:rPr>
        <w:footnoteReference w:id="5"/>
      </w:r>
      <w:r w:rsidR="009C7CF3">
        <w:t xml:space="preserve"> </w:t>
      </w:r>
      <w:r w:rsidR="009C7CF3" w:rsidRPr="004B1E0F">
        <w:t>–</w:t>
      </w:r>
      <w:r w:rsidR="009C7CF3">
        <w:t xml:space="preserve"> 233 darbuotojai</w:t>
      </w:r>
      <w:r w:rsidR="009C7CF3" w:rsidRPr="009C7CF3">
        <w:t xml:space="preserve"> </w:t>
      </w:r>
      <w:r w:rsidR="009C7CF3" w:rsidRPr="004B1E0F">
        <w:t>buvo atleisti</w:t>
      </w:r>
      <w:r w:rsidR="009C7CF3">
        <w:t xml:space="preserve"> </w:t>
      </w:r>
      <w:r w:rsidR="009C7CF3" w:rsidRPr="004B1E0F">
        <w:t>per ataskaitinį laikotarpį nuo 2025 m. vasario 25 d. iki 2025 m. birželio 25 d.</w:t>
      </w:r>
      <w:r w:rsidR="009C7CF3">
        <w:t xml:space="preserve"> ir</w:t>
      </w:r>
      <w:r w:rsidRPr="004B1E0F">
        <w:t xml:space="preserve"> 1 255 darbuotojai prieš ataskaitinį laikotarpį arba po jo; </w:t>
      </w:r>
    </w:p>
    <w:p w14:paraId="77667D53" w14:textId="77777777" w:rsidR="00BB5828" w:rsidRPr="004B1E0F" w:rsidRDefault="00BB5828" w:rsidP="00BB5828">
      <w:pPr>
        <w:pStyle w:val="NormalHanging12a"/>
        <w:rPr>
          <w:noProof/>
        </w:rPr>
      </w:pPr>
      <w:r w:rsidRPr="004B1E0F">
        <w:t>C.</w:t>
      </w:r>
      <w:r w:rsidRPr="004B1E0F">
        <w:tab/>
        <w:t>kadangi paraiška grindžiama EGF reglamento 4 straipsnio 2 dalies a punkte nustatytais intervencijos kriterijais, pagal kuriuos per keturių mėnesių ataskaitinį laikotarpį valstybės narės įmonėje sustabdoma ne mažiau kaip 200 atleistų darbuotojų arba savarankiškai dirbančių asmenų veikla; kadangi 1 255 atleistų darbuotojų, kurių veikla nutrūko prieš keturių mėnesių ataskaitinį laikotarpį arba po jo, atveju galima nustatyti aiškų priežastinį ryšį su įvykiu, dėl kurio ataskaitiniu laikotarpiu nutrūko atleistų darbuotojų veikla, kaip reikalaujama pagal EGF reglamento 6 straipsnio 2 dalį;</w:t>
      </w:r>
    </w:p>
    <w:p w14:paraId="31E2BEAE" w14:textId="77777777" w:rsidR="00BB5828" w:rsidRPr="004B1E0F" w:rsidRDefault="00BB5828" w:rsidP="00BB5828">
      <w:pPr>
        <w:pStyle w:val="NormalHanging12a"/>
        <w:rPr>
          <w:noProof/>
        </w:rPr>
      </w:pPr>
      <w:r w:rsidRPr="004B1E0F">
        <w:t>D.</w:t>
      </w:r>
      <w:r w:rsidRPr="004B1E0F">
        <w:tab/>
        <w:t>kadangi 2024 m. lapkričio 29 d. KTM pateikė ieškinį dėl nemokumo ir 2025 m. vasario 25 d. buvo patvirtintas restruktūrizavimo planas; kadangi tam tikri įmonės sprendimai dėl dividendų paskirstymo 2021 ir 2024 m., kai COVID-19 pandemijos metu ji naudojosi valstybės pagalba, kelia susirūpinimą;</w:t>
      </w:r>
    </w:p>
    <w:p w14:paraId="62B9F7D8" w14:textId="77777777" w:rsidR="00BB5828" w:rsidRPr="004B1E0F" w:rsidRDefault="00BB5828" w:rsidP="00BB5828">
      <w:pPr>
        <w:pStyle w:val="NormalHanging12a"/>
        <w:rPr>
          <w:noProof/>
        </w:rPr>
      </w:pPr>
      <w:r w:rsidRPr="004B1E0F">
        <w:t>E.</w:t>
      </w:r>
      <w:r w:rsidRPr="004B1E0F">
        <w:tab/>
        <w:t>kadangi Austrija nurodė, kad Aukštutinės Austrijos valstybinė užimtumo tarnyba ir Aukštutinės Austrijos žemė teikia nacionalinį išankstinį ir bendrą priemonių finansavimą;</w:t>
      </w:r>
    </w:p>
    <w:p w14:paraId="1366031F" w14:textId="77777777" w:rsidR="00BB5828" w:rsidRPr="004B1E0F" w:rsidRDefault="00BB5828" w:rsidP="00BB5828">
      <w:pPr>
        <w:pStyle w:val="NormalHanging12a"/>
        <w:rPr>
          <w:noProof/>
        </w:rPr>
      </w:pPr>
      <w:r w:rsidRPr="004B1E0F">
        <w:t>F.</w:t>
      </w:r>
      <w:r w:rsidRPr="004B1E0F">
        <w:tab/>
        <w:t>kadangi buvo laikomasi Sąjungos ir nacionalinės teisės aktuose nustatytų su kolektyviniu atleidimu iš darbo susijusių reikalavimų;</w:t>
      </w:r>
    </w:p>
    <w:p w14:paraId="4B927415" w14:textId="77777777" w:rsidR="00BB5828" w:rsidRPr="004B1E0F" w:rsidRDefault="00BB5828" w:rsidP="00BB5828">
      <w:pPr>
        <w:pStyle w:val="NormalHanging12a"/>
        <w:rPr>
          <w:noProof/>
        </w:rPr>
      </w:pPr>
      <w:r w:rsidRPr="004B1E0F">
        <w:t>G.</w:t>
      </w:r>
      <w:r w:rsidRPr="004B1E0F">
        <w:tab/>
        <w:t xml:space="preserve">kadangi EGF finansinė parama pirmiausia turėtų būti skiriama aktyvios darbo rinkos politikos priemonėms ir prie individualių poreikių pritaikytoms paslaugoms, kuriomis siekiama greitai </w:t>
      </w:r>
      <w:proofErr w:type="spellStart"/>
      <w:r w:rsidRPr="004B1E0F">
        <w:t>reintegruoti</w:t>
      </w:r>
      <w:proofErr w:type="spellEnd"/>
      <w:r w:rsidRPr="004B1E0F">
        <w:t xml:space="preserve"> paramos gavėjus į darbo rinką, siūlant jiems įgūdžių tobulinimo mokymus, kad jie geriau atitiktų ateities darbo rinkos poreikius ir būtų geriau pasirengę žaliajai ir skaitmeninei pertvarkai;</w:t>
      </w:r>
    </w:p>
    <w:p w14:paraId="4C7C2FD5" w14:textId="77777777" w:rsidR="00BB5828" w:rsidRPr="004B1E0F" w:rsidRDefault="00BB5828" w:rsidP="00BB5828">
      <w:pPr>
        <w:pStyle w:val="NormalHanging12a"/>
        <w:rPr>
          <w:noProof/>
        </w:rPr>
      </w:pPr>
      <w:r w:rsidRPr="004B1E0F">
        <w:t>H.</w:t>
      </w:r>
      <w:r w:rsidRPr="004B1E0F">
        <w:tab/>
        <w:t>kadangi EGF didžiausia metinė suma neviršija 30 mln. EUR (2018 m. kainomis)</w:t>
      </w:r>
      <w:r w:rsidRPr="004B1E0F">
        <w:rPr>
          <w:noProof/>
          <w:vertAlign w:val="superscript"/>
        </w:rPr>
        <w:footnoteReference w:id="6"/>
      </w:r>
      <w:r w:rsidRPr="004B1E0F">
        <w:t>;</w:t>
      </w:r>
    </w:p>
    <w:p w14:paraId="5343CEED" w14:textId="099D285F" w:rsidR="00BB5828" w:rsidRPr="004B1E0F" w:rsidRDefault="00BB5828" w:rsidP="00BB5828">
      <w:pPr>
        <w:pStyle w:val="NormalHanging12a"/>
        <w:rPr>
          <w:bCs/>
          <w:iCs/>
          <w:noProof/>
        </w:rPr>
      </w:pPr>
      <w:r w:rsidRPr="004B1E0F">
        <w:t>I.</w:t>
      </w:r>
      <w:r w:rsidRPr="004B1E0F">
        <w:tab/>
        <w:t>kadangi pastarojo meto gamybos veiklos perkėlim</w:t>
      </w:r>
      <w:r w:rsidR="00993C56">
        <w:t>o</w:t>
      </w:r>
      <w:r w:rsidRPr="004B1E0F">
        <w:t xml:space="preserve"> už Sąjungos ribų</w:t>
      </w:r>
      <w:r w:rsidR="00993C56">
        <w:t xml:space="preserve"> atvejai</w:t>
      </w:r>
      <w:r w:rsidRPr="004B1E0F">
        <w:t xml:space="preserve"> rodo, kad </w:t>
      </w:r>
      <w:r w:rsidRPr="004B1E0F">
        <w:lastRenderedPageBreak/>
        <w:t>reikia stiprinti Europos pramonės konkurencingumą ir atsparumą pasaulinėje rinkoje;</w:t>
      </w:r>
    </w:p>
    <w:p w14:paraId="4C675E66" w14:textId="77777777" w:rsidR="00BB5828" w:rsidRPr="004B1E0F" w:rsidRDefault="00BB5828" w:rsidP="00BB5828">
      <w:pPr>
        <w:pStyle w:val="NormalHanging12a"/>
        <w:rPr>
          <w:noProof/>
        </w:rPr>
      </w:pPr>
      <w:r w:rsidRPr="004B1E0F">
        <w:t>1.</w:t>
      </w:r>
      <w:r w:rsidRPr="004B1E0F">
        <w:tab/>
        <w:t>pritaria Komisijai, kad tenkinamos EGF reglamento ir ypač jo 4 straipsnio 2 dalies a punkte nustatytos sąlygos ir kad Austrija turi teisę pagal šį reglamentą gauti 1 806 624 EUR finansinę paramą, kuri sudaro 60 proc. visų išlaidų, siekiančių 3 011 040 EUR ir apimančių prie individualių poreikių pritaikytų paslaugų išlaidas (2 895 120 EUR) ir parengiamosios, valdymo, informavimo ir viešinimo, kontrolės ir ataskaitų teikimo veiklos išlaidas (115 920 EUR);</w:t>
      </w:r>
    </w:p>
    <w:p w14:paraId="349D5BA0" w14:textId="77777777" w:rsidR="00BB5828" w:rsidRPr="004B1E0F" w:rsidRDefault="00BB5828" w:rsidP="00BB5828">
      <w:pPr>
        <w:pStyle w:val="NormalHanging12a"/>
        <w:rPr>
          <w:noProof/>
        </w:rPr>
      </w:pPr>
      <w:r w:rsidRPr="004B1E0F">
        <w:t>2.</w:t>
      </w:r>
      <w:r w:rsidRPr="004B1E0F">
        <w:tab/>
        <w:t>pažymi, kad Austrijos valdžios institucijos paraišką pateikė 2025 m. rugsėjo 15 d. ir kad, gavusi iš Austrijos papildomą informaciją, Komisija 2026 m. vasario 6 d. baigė savo vertinimą ir 2026 m. vasario 11 d. apie jį informavo Parlamentą; pabrėžia, kad svarbu sutrumpinti laikotarpį nuo paraiškos EGF paramai gauti pateikimo iki sprendimo dėl finansavimo priėmimo, kartu visapusiškai užtikrinant Europos Parlamento, kaip vienos iš biudžeto valdymo institucijų, teises;</w:t>
      </w:r>
    </w:p>
    <w:p w14:paraId="13D0EA89" w14:textId="77777777" w:rsidR="00BB5828" w:rsidRPr="004B1E0F" w:rsidRDefault="00BB5828" w:rsidP="00BB5828">
      <w:pPr>
        <w:pStyle w:val="NormalHanging12a"/>
        <w:rPr>
          <w:noProof/>
        </w:rPr>
      </w:pPr>
      <w:r w:rsidRPr="004B1E0F">
        <w:t>3.</w:t>
      </w:r>
      <w:r w:rsidRPr="004B1E0F">
        <w:tab/>
        <w:t>pažymi, kad paraiška susijusi su 1 488 darbuotojais, nukentėjusiais dėl KTM nemokumo proceso, kuris buvo didžiausio masto, koks kada nors yra buvęs Aukštutinėje Austrijoje; taip pat pažymi, kad tiksliniai paramos gavėjai bus iš viso 420 atleistų darbuotojų ir numatoma, kad jie turėtų pasinaudoti priemonėmis;</w:t>
      </w:r>
    </w:p>
    <w:p w14:paraId="50C24257" w14:textId="77777777" w:rsidR="00BB5828" w:rsidRPr="004B1E0F" w:rsidRDefault="00BB5828" w:rsidP="00BB5828">
      <w:pPr>
        <w:pStyle w:val="NormalHanging12a"/>
        <w:rPr>
          <w:noProof/>
        </w:rPr>
      </w:pPr>
      <w:r w:rsidRPr="004B1E0F">
        <w:t>4.</w:t>
      </w:r>
      <w:r w:rsidRPr="004B1E0F">
        <w:tab/>
        <w:t>pažymi, kad KTM buvo didžiausia motociklų gamintoja Sąjungoje ir didžiausia įmonės „</w:t>
      </w:r>
      <w:proofErr w:type="spellStart"/>
      <w:r w:rsidRPr="004B1E0F">
        <w:t>Pierer</w:t>
      </w:r>
      <w:proofErr w:type="spellEnd"/>
      <w:r w:rsidRPr="004B1E0F">
        <w:t xml:space="preserve"> </w:t>
      </w:r>
      <w:proofErr w:type="spellStart"/>
      <w:r w:rsidRPr="004B1E0F">
        <w:t>Mobility</w:t>
      </w:r>
      <w:proofErr w:type="spellEnd"/>
      <w:r w:rsidRPr="004B1E0F">
        <w:t xml:space="preserve"> AG“ patronuojamoji įmonė; apgailestauja dėl to, kad patronuojančioji įmonė 2023 m. gruodžio mėn. nusprendė perkelti gamybą į Kiniją ir Indiją dėl nesąžiningų konkurencijos sąlygų; pažymi, kad dėl to iš pradžių buvo atleista 300 darbuotojų ir kad dėl vėlesnių pardavimo nuostolių KTM teko sumažinti išlaidas, įskaitant daugiau kaip 500 darbuotojų atleidimą 2024 m.;</w:t>
      </w:r>
    </w:p>
    <w:p w14:paraId="4777E2C4" w14:textId="1CB38DFA" w:rsidR="00BB5828" w:rsidRPr="004B1E0F" w:rsidRDefault="00BB5828" w:rsidP="00BB5828">
      <w:pPr>
        <w:pStyle w:val="NormalHanging12a"/>
        <w:rPr>
          <w:noProof/>
        </w:rPr>
      </w:pPr>
      <w:r w:rsidRPr="004B1E0F">
        <w:t>5.</w:t>
      </w:r>
      <w:r w:rsidRPr="004B1E0F">
        <w:tab/>
        <w:t xml:space="preserve">pažymi, kad patronuojančioji įmonė turėjo pradėti restruktūrizavimo procesą ir kad KTM pirmą kartą nutraukus gamybą 2025 m. buvo </w:t>
      </w:r>
      <w:r w:rsidR="00B54D1E">
        <w:t xml:space="preserve">papildomai </w:t>
      </w:r>
      <w:r w:rsidRPr="004B1E0F">
        <w:t>atleista daugiau kaip 750 darbuotojų; pažymi, kad investuotojas „</w:t>
      </w:r>
      <w:proofErr w:type="spellStart"/>
      <w:r w:rsidRPr="004B1E0F">
        <w:t>Bajaj</w:t>
      </w:r>
      <w:proofErr w:type="spellEnd"/>
      <w:r w:rsidRPr="004B1E0F">
        <w:t xml:space="preserve"> Auto International </w:t>
      </w:r>
      <w:proofErr w:type="spellStart"/>
      <w:r w:rsidRPr="004B1E0F">
        <w:t>Holdings</w:t>
      </w:r>
      <w:proofErr w:type="spellEnd"/>
      <w:r w:rsidRPr="004B1E0F">
        <w:t xml:space="preserve"> B.V.“ suteikė reikiamų išteklių, kad 2025 m. gegužės 22 d. būtų užtikrintas KTM veiklos tęstinumas, išvengta KTM bankroto ir sudarytos sąlygos 2025 m. liepos mėn. atnaujinti gamybą, sykiu apribojant išlaidas;</w:t>
      </w:r>
    </w:p>
    <w:p w14:paraId="5D4346E7" w14:textId="77777777" w:rsidR="00BB5828" w:rsidRPr="004B1E0F" w:rsidRDefault="00BB5828" w:rsidP="00BB5828">
      <w:pPr>
        <w:pStyle w:val="NormalHanging12a"/>
        <w:rPr>
          <w:noProof/>
        </w:rPr>
      </w:pPr>
      <w:r w:rsidRPr="004B1E0F">
        <w:t>6.</w:t>
      </w:r>
      <w:r w:rsidRPr="004B1E0F">
        <w:tab/>
        <w:t xml:space="preserve">pažymi, kad anksčiau KTM buvo vienas sėkmingiausių motociklų prekių ženklų Europoje, svarbus darbdavys ir ypač svarbus daugelio tiekėjų ekonominis ramstis Aukštutinės Austrijos </w:t>
      </w:r>
      <w:proofErr w:type="spellStart"/>
      <w:r w:rsidRPr="004B1E0F">
        <w:t>Braunau</w:t>
      </w:r>
      <w:proofErr w:type="spellEnd"/>
      <w:r w:rsidRPr="004B1E0F">
        <w:t xml:space="preserve"> rajone; pažymi, kad dėl to 2024 m. lapkričio mėn. nedarbas šiame rajone padidėjo 37,1 proc., palyginti su tuo pačiu praėjusių metų mėnesiu; pažymi, kad 2025 m. </w:t>
      </w:r>
      <w:proofErr w:type="spellStart"/>
      <w:r w:rsidRPr="004B1E0F">
        <w:t>Braunau</w:t>
      </w:r>
      <w:proofErr w:type="spellEnd"/>
      <w:r w:rsidRPr="004B1E0F">
        <w:t xml:space="preserve"> rajone nedarbas pasiekė visų laikų didžiausią lygį; </w:t>
      </w:r>
    </w:p>
    <w:p w14:paraId="7903F39E" w14:textId="77777777" w:rsidR="00BB5828" w:rsidRPr="004B1E0F" w:rsidRDefault="00BB5828" w:rsidP="00BB5828">
      <w:pPr>
        <w:pStyle w:val="NormalHanging12a"/>
        <w:rPr>
          <w:noProof/>
        </w:rPr>
      </w:pPr>
      <w:r w:rsidRPr="004B1E0F">
        <w:t>7.</w:t>
      </w:r>
      <w:r w:rsidRPr="004B1E0F">
        <w:tab/>
        <w:t>primena, kad pagal susitarimą su socialiniais partneriais prie individualių poreikių pritaikytas paslaugas, kurios turi būti teikiamos darbuotojams, sudaro šios priemonės: atvejo valdymas, profesinis orientavimas, mokymas ir perkvalifikavimas, aktyvi darbo paieška, mokymo išmokos; pabrėžia, kad svarbu skatinti kokybiškas, į ateitį orientuotas darbo vietas, kad būtų užtikrintas ilgalaikis ekonominis ir socialinis atsparumas; pabrėžia glaudaus bendradarbiavimo su regioninėmis įmonėmis ir darbdaviais svarbą siekiant užtikrinti, kad mokymo ir perkvalifikavimo programos atitiktų konkrečius darbo rinkos poreikius ir palengvintų greitą atleistų darbuotojų reintegraciją;</w:t>
      </w:r>
    </w:p>
    <w:p w14:paraId="27A5DD3A" w14:textId="1ECBEA2E" w:rsidR="00BB5828" w:rsidRPr="004B1E0F" w:rsidRDefault="00BB5828" w:rsidP="00BB5828">
      <w:pPr>
        <w:pStyle w:val="NormalHanging12a"/>
        <w:rPr>
          <w:bCs/>
          <w:iCs/>
          <w:noProof/>
        </w:rPr>
      </w:pPr>
      <w:r w:rsidRPr="004B1E0F">
        <w:t>8.</w:t>
      </w:r>
      <w:r w:rsidRPr="004B1E0F">
        <w:tab/>
        <w:t xml:space="preserve">primena, kad EGF yra solidarumo ir teisingos pertvarkos priemonė ir, nors pagal jį </w:t>
      </w:r>
      <w:r w:rsidRPr="004B1E0F">
        <w:lastRenderedPageBreak/>
        <w:t>parama teikiama praradus darbo vietas, jis negali pakeisti aktyvios pramonės politikos; pabrėžia, kad pagrindinė Sąjungos užduotis turi būti visų pirma užkirsti kelią tokiam įmonių uždarymui, sudarant sąlygas pramonės gamybai išlikti konkurencinga</w:t>
      </w:r>
      <w:r w:rsidR="00857AF3">
        <w:t>i</w:t>
      </w:r>
      <w:r w:rsidRPr="004B1E0F">
        <w:t>, kartu investuojant į aukštos kvalifikacijos darbuotojų ir pramonės darbuotojų įgūdžius; pabrėžia būtinybę teikti specialią paramą, kuri būtų pritaikyta prie darbuotojų, kurių išsilavinimo lygis yra žemas, profilių, taip pat imtis priemonių bankrotų skaičiui mažinti ir socialinės nelygybės, dėl kurios darbuotojai atskiriami nuo darbo rinkos, problemai spręsti;</w:t>
      </w:r>
    </w:p>
    <w:p w14:paraId="2124B20B" w14:textId="77777777" w:rsidR="00BB5828" w:rsidRPr="004B1E0F" w:rsidRDefault="00BB5828" w:rsidP="00BB5828">
      <w:pPr>
        <w:pStyle w:val="NormalHanging12a"/>
        <w:rPr>
          <w:bCs/>
          <w:iCs/>
          <w:noProof/>
        </w:rPr>
      </w:pPr>
      <w:r w:rsidRPr="004B1E0F">
        <w:t>9.</w:t>
      </w:r>
      <w:r w:rsidRPr="004B1E0F">
        <w:tab/>
        <w:t>pabrėžia, kad Austrijos valdžios institucijos užtikrina Sąjungos finansavimo matomumą ir atkreipia dėmesį į jo pridėtinę vertę, teikdamos veiksmingą ir tikslinę informaciją paramos gavėjams, regioninėms ir vietos valdžios institucijoms, socialiniams partneriams bei plačiajai visuomenei;</w:t>
      </w:r>
    </w:p>
    <w:p w14:paraId="17CF1DC6" w14:textId="77777777" w:rsidR="00BB5828" w:rsidRPr="004B1E0F" w:rsidRDefault="00BB5828" w:rsidP="00BB5828">
      <w:pPr>
        <w:pStyle w:val="NormalHanging12a"/>
        <w:rPr>
          <w:noProof/>
        </w:rPr>
      </w:pPr>
      <w:r w:rsidRPr="004B1E0F">
        <w:t>10.</w:t>
      </w:r>
      <w:r w:rsidRPr="004B1E0F">
        <w:tab/>
        <w:t>ragina atlikti išsamius galutinius įgyvendintų priemonių vertinimus, įskaitant aiškią informaciją apie tai, kaip lėšos buvo panaudotos ir ar jos buvo panaudotos pagal patvirtintus planus;</w:t>
      </w:r>
    </w:p>
    <w:p w14:paraId="7FB5FD3B" w14:textId="53850CBC" w:rsidR="00BB5828" w:rsidRPr="004B1E0F" w:rsidRDefault="00BB5828" w:rsidP="00BB5828">
      <w:pPr>
        <w:pStyle w:val="NormalHanging12a"/>
        <w:rPr>
          <w:noProof/>
        </w:rPr>
      </w:pPr>
      <w:r w:rsidRPr="004B1E0F">
        <w:t>11.</w:t>
      </w:r>
      <w:r w:rsidRPr="004B1E0F">
        <w:tab/>
        <w:t>pažymi, kad Austrija 2025 m. kovo 1 d. pradėjo teikti tiksliniams paramos gavėjams prie individualių poreikių pritaikytas paslaugas ir kartu patyrė administracin</w:t>
      </w:r>
      <w:r w:rsidR="00D94C86">
        <w:t>ių</w:t>
      </w:r>
      <w:r w:rsidRPr="004B1E0F">
        <w:t xml:space="preserve"> išlaid</w:t>
      </w:r>
      <w:r w:rsidR="00D94C86">
        <w:t>ų</w:t>
      </w:r>
      <w:r w:rsidRPr="004B1E0F">
        <w:t>, susijusi</w:t>
      </w:r>
      <w:r w:rsidR="00D94C86">
        <w:t>ų</w:t>
      </w:r>
      <w:r w:rsidRPr="004B1E0F">
        <w:t xml:space="preserve"> su EGF įgyvendinimu, ir todėl tam skirtos išlaidos bus laikomos tinkamomis finansuoti iš EGF finansinės paramos nuo tos dienos iki tada, kai sueis atitinkamai 24 mėnesiai ir 31 mėnesis nuo finansavimo sprendimo įsigaliojimo dienos;</w:t>
      </w:r>
    </w:p>
    <w:p w14:paraId="03C0CB81" w14:textId="77777777" w:rsidR="00BB5828" w:rsidRPr="004B1E0F" w:rsidRDefault="00BB5828" w:rsidP="00BB5828">
      <w:pPr>
        <w:pStyle w:val="NormalHanging12a"/>
        <w:rPr>
          <w:noProof/>
        </w:rPr>
      </w:pPr>
      <w:r w:rsidRPr="004B1E0F">
        <w:t>12.</w:t>
      </w:r>
      <w:r w:rsidRPr="004B1E0F">
        <w:tab/>
        <w:t>atkreipia dėmesį į tai, kad Austrijos valdžios institucijos patvirtino, jog suteikiant galimybę naudotis siūlomais veiksmais ir juos įgyvendinant bus laikomasi vienodo požiūrio ir nediskriminavimo principų ir kad bus išvengta bet kokio dvigubo finansavimo;</w:t>
      </w:r>
    </w:p>
    <w:p w14:paraId="164BCC23" w14:textId="77777777" w:rsidR="00BB5828" w:rsidRPr="004B1E0F" w:rsidRDefault="00BB5828" w:rsidP="00BB5828">
      <w:pPr>
        <w:pStyle w:val="NormalHanging12a"/>
        <w:rPr>
          <w:noProof/>
        </w:rPr>
      </w:pPr>
      <w:r w:rsidRPr="004B1E0F">
        <w:t>13.</w:t>
      </w:r>
      <w:r w:rsidRPr="004B1E0F">
        <w:tab/>
        <w:t>pakartoja, kad EGF parama neturi pakeisti veiksmų, už kuriuos bendrovės atsakingos pagal nacionalinę teisę ar kolektyvines sutartis;</w:t>
      </w:r>
    </w:p>
    <w:p w14:paraId="74E31DFF" w14:textId="77777777" w:rsidR="00BB5828" w:rsidRPr="004B1E0F" w:rsidRDefault="00BB5828" w:rsidP="00BB5828">
      <w:pPr>
        <w:pStyle w:val="NormalHanging12a"/>
        <w:rPr>
          <w:noProof/>
        </w:rPr>
      </w:pPr>
      <w:r w:rsidRPr="004B1E0F">
        <w:t>14.</w:t>
      </w:r>
      <w:r w:rsidRPr="004B1E0F">
        <w:tab/>
        <w:t>pritaria prie šios rezoliucijos pridedamam sprendimui;</w:t>
      </w:r>
    </w:p>
    <w:p w14:paraId="4802C42F" w14:textId="77777777" w:rsidR="00BB5828" w:rsidRPr="004B1E0F" w:rsidRDefault="00BB5828" w:rsidP="00BB5828">
      <w:pPr>
        <w:pStyle w:val="NormalHanging12a"/>
        <w:rPr>
          <w:noProof/>
        </w:rPr>
      </w:pPr>
      <w:r w:rsidRPr="004B1E0F">
        <w:t>15.</w:t>
      </w:r>
      <w:r w:rsidRPr="004B1E0F">
        <w:tab/>
        <w:t xml:space="preserve">paveda Pirmininkei pasirašyti šį sprendimą su Tarybos pirmininku ir užtikrinti, kad jis būtų paskelbtas </w:t>
      </w:r>
      <w:r w:rsidRPr="004B1E0F">
        <w:rPr>
          <w:i/>
          <w:iCs/>
        </w:rPr>
        <w:t>Europos Sąjungos oficialiajame leidinyje</w:t>
      </w:r>
      <w:r w:rsidRPr="004B1E0F">
        <w:t>;</w:t>
      </w:r>
    </w:p>
    <w:p w14:paraId="2D2D255A" w14:textId="77777777" w:rsidR="00BB5828" w:rsidRPr="004B1E0F" w:rsidRDefault="00BB5828" w:rsidP="00BB5828">
      <w:pPr>
        <w:pStyle w:val="NormalHanging12a"/>
        <w:rPr>
          <w:noProof/>
        </w:rPr>
      </w:pPr>
      <w:r w:rsidRPr="004B1E0F">
        <w:t>16.</w:t>
      </w:r>
      <w:r w:rsidRPr="004B1E0F">
        <w:tab/>
        <w:t>paveda Pirmininkei perduoti šią rezoliuciją ir jos priedą Tarybai ir Komisijai.</w:t>
      </w:r>
    </w:p>
    <w:p w14:paraId="37FEC536" w14:textId="77777777" w:rsidR="00BB5828" w:rsidRPr="004B1E0F" w:rsidRDefault="00BB5828" w:rsidP="00BB5828">
      <w:pPr>
        <w:rPr>
          <w:noProof/>
        </w:rPr>
      </w:pPr>
    </w:p>
    <w:p w14:paraId="43E08873" w14:textId="77777777" w:rsidR="00BB5828" w:rsidRPr="004B1E0F" w:rsidRDefault="00BB5828" w:rsidP="00BB5828">
      <w:pPr>
        <w:pStyle w:val="PageHeading"/>
        <w:rPr>
          <w:noProof/>
        </w:rPr>
        <w:sectPr w:rsidR="00BB5828" w:rsidRPr="004B1E0F" w:rsidSect="004B1E0F">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B23BDD" w14:textId="77777777" w:rsidR="001D1010" w:rsidRPr="001D1010" w:rsidRDefault="00BB5828" w:rsidP="00BB5828">
      <w:pPr>
        <w:pStyle w:val="PageHeading"/>
        <w:rPr>
          <w:rFonts w:ascii="Times New Roman" w:hAnsi="Times New Roman" w:cs="Times New Roman"/>
        </w:rPr>
      </w:pPr>
      <w:bookmarkStart w:id="7" w:name="_Toc224811594"/>
      <w:r w:rsidRPr="001D1010">
        <w:rPr>
          <w:rFonts w:ascii="Times New Roman" w:hAnsi="Times New Roman" w:cs="Times New Roman"/>
        </w:rPr>
        <w:lastRenderedPageBreak/>
        <w:t>PRIEDAS</w:t>
      </w:r>
    </w:p>
    <w:p w14:paraId="17DF89D5" w14:textId="5BFAEF11" w:rsidR="00BB5828" w:rsidRPr="001D1010" w:rsidRDefault="00BB5828" w:rsidP="00BB5828">
      <w:pPr>
        <w:pStyle w:val="PageHeading"/>
        <w:rPr>
          <w:rFonts w:ascii="Times New Roman" w:hAnsi="Times New Roman" w:cs="Times New Roman"/>
          <w:noProof/>
        </w:rPr>
      </w:pPr>
      <w:r w:rsidRPr="001D1010">
        <w:rPr>
          <w:rFonts w:ascii="Times New Roman" w:hAnsi="Times New Roman" w:cs="Times New Roman"/>
        </w:rPr>
        <w:t>EUROPOS PARLAMENTO IR TARYBOS SPRENDIMAS</w:t>
      </w:r>
      <w:bookmarkEnd w:id="7"/>
    </w:p>
    <w:p w14:paraId="75B772FD" w14:textId="77777777" w:rsidR="00BB5828" w:rsidRPr="004B1E0F" w:rsidRDefault="00BB5828" w:rsidP="00BB5828">
      <w:pPr>
        <w:pStyle w:val="NormalHanging12a"/>
        <w:rPr>
          <w:b/>
          <w:bCs/>
        </w:rPr>
      </w:pPr>
      <w:bookmarkStart w:id="8" w:name="_Hlk212804276"/>
      <w:bookmarkStart w:id="9" w:name="_Hlk212804598"/>
      <w:r w:rsidRPr="004B1E0F">
        <w:rPr>
          <w:b/>
        </w:rPr>
        <w:t>dėl Europos prisitaikymo prie globalizacijos padarinių fondo atleistiems darbuotojams lėšų mobilizavimo pagal Austrijos paraišką „EGF/2025/005 AT/KTM“</w:t>
      </w:r>
    </w:p>
    <w:bookmarkEnd w:id="8"/>
    <w:bookmarkEnd w:id="9"/>
    <w:p w14:paraId="261979CE" w14:textId="3B664ED6" w:rsidR="00E365E1" w:rsidRPr="004B1E0F" w:rsidRDefault="001D1010" w:rsidP="001D1010">
      <w:pPr>
        <w:pStyle w:val="Institutionquiagit"/>
        <w:jc w:val="left"/>
      </w:pPr>
      <w:r w:rsidRPr="004B4229">
        <w:rPr>
          <w:i/>
          <w:lang w:val="en-GB"/>
        </w:rPr>
        <w:t>(</w:t>
      </w:r>
      <w:proofErr w:type="spellStart"/>
      <w:r w:rsidRPr="004B4229">
        <w:rPr>
          <w:i/>
          <w:lang w:val="en-GB"/>
        </w:rPr>
        <w:t>Šio</w:t>
      </w:r>
      <w:proofErr w:type="spellEnd"/>
      <w:r w:rsidRPr="004B4229">
        <w:rPr>
          <w:i/>
          <w:lang w:val="en-GB"/>
        </w:rPr>
        <w:t xml:space="preserve"> </w:t>
      </w:r>
      <w:proofErr w:type="spellStart"/>
      <w:r w:rsidRPr="004B4229">
        <w:rPr>
          <w:i/>
          <w:lang w:val="en-GB"/>
        </w:rPr>
        <w:t>priedo</w:t>
      </w:r>
      <w:proofErr w:type="spellEnd"/>
      <w:r w:rsidRPr="004B4229">
        <w:rPr>
          <w:i/>
          <w:lang w:val="en-GB"/>
        </w:rPr>
        <w:t xml:space="preserve"> </w:t>
      </w:r>
      <w:proofErr w:type="spellStart"/>
      <w:r w:rsidRPr="004B4229">
        <w:rPr>
          <w:i/>
          <w:lang w:val="en-GB"/>
        </w:rPr>
        <w:t>tekstas</w:t>
      </w:r>
      <w:proofErr w:type="spellEnd"/>
      <w:r w:rsidRPr="004B4229">
        <w:rPr>
          <w:i/>
          <w:lang w:val="en-GB"/>
        </w:rPr>
        <w:t xml:space="preserve"> </w:t>
      </w:r>
      <w:proofErr w:type="spellStart"/>
      <w:r w:rsidRPr="004B4229">
        <w:rPr>
          <w:i/>
          <w:lang w:val="en-GB"/>
        </w:rPr>
        <w:t>čia</w:t>
      </w:r>
      <w:proofErr w:type="spellEnd"/>
      <w:r w:rsidRPr="004B4229">
        <w:rPr>
          <w:i/>
          <w:lang w:val="en-GB"/>
        </w:rPr>
        <w:t xml:space="preserve"> </w:t>
      </w:r>
      <w:proofErr w:type="spellStart"/>
      <w:r w:rsidRPr="004B4229">
        <w:rPr>
          <w:i/>
          <w:lang w:val="en-GB"/>
        </w:rPr>
        <w:t>nepateikiamas</w:t>
      </w:r>
      <w:proofErr w:type="spellEnd"/>
      <w:r w:rsidRPr="004B4229">
        <w:rPr>
          <w:i/>
          <w:lang w:val="en-GB"/>
        </w:rPr>
        <w:t xml:space="preserve">, </w:t>
      </w:r>
      <w:proofErr w:type="spellStart"/>
      <w:r w:rsidRPr="004B4229">
        <w:rPr>
          <w:i/>
          <w:lang w:val="en-GB"/>
        </w:rPr>
        <w:t>nes</w:t>
      </w:r>
      <w:proofErr w:type="spellEnd"/>
      <w:r w:rsidRPr="004B4229">
        <w:rPr>
          <w:i/>
          <w:lang w:val="en-GB"/>
        </w:rPr>
        <w:t xml:space="preserve"> </w:t>
      </w:r>
      <w:proofErr w:type="spellStart"/>
      <w:r w:rsidRPr="004B4229">
        <w:rPr>
          <w:i/>
          <w:lang w:val="en-GB"/>
        </w:rPr>
        <w:t>jis</w:t>
      </w:r>
      <w:proofErr w:type="spellEnd"/>
      <w:r w:rsidRPr="004B4229">
        <w:rPr>
          <w:i/>
          <w:lang w:val="en-GB"/>
        </w:rPr>
        <w:t xml:space="preserve"> </w:t>
      </w:r>
      <w:proofErr w:type="spellStart"/>
      <w:r w:rsidRPr="004B4229">
        <w:rPr>
          <w:i/>
          <w:lang w:val="en-GB"/>
        </w:rPr>
        <w:t>atitinka</w:t>
      </w:r>
      <w:proofErr w:type="spellEnd"/>
      <w:r w:rsidRPr="004B4229">
        <w:rPr>
          <w:i/>
          <w:lang w:val="en-GB"/>
        </w:rPr>
        <w:t xml:space="preserve"> </w:t>
      </w:r>
      <w:proofErr w:type="spellStart"/>
      <w:r w:rsidRPr="004B4229">
        <w:rPr>
          <w:i/>
          <w:lang w:val="en-GB"/>
        </w:rPr>
        <w:t>galutinį</w:t>
      </w:r>
      <w:proofErr w:type="spellEnd"/>
      <w:r w:rsidRPr="004B4229">
        <w:rPr>
          <w:i/>
          <w:lang w:val="en-GB"/>
        </w:rPr>
        <w:t xml:space="preserve"> </w:t>
      </w:r>
      <w:proofErr w:type="spellStart"/>
      <w:r w:rsidRPr="004B4229">
        <w:rPr>
          <w:i/>
          <w:lang w:val="en-GB"/>
        </w:rPr>
        <w:t>aktą</w:t>
      </w:r>
      <w:proofErr w:type="spellEnd"/>
      <w:r w:rsidRPr="004B4229">
        <w:rPr>
          <w:i/>
          <w:lang w:val="en-GB"/>
        </w:rPr>
        <w:t xml:space="preserve"> – </w:t>
      </w:r>
      <w:proofErr w:type="spellStart"/>
      <w:r w:rsidRPr="004B4229">
        <w:rPr>
          <w:i/>
          <w:lang w:val="en-GB"/>
        </w:rPr>
        <w:t>Sprendimą</w:t>
      </w:r>
      <w:proofErr w:type="spellEnd"/>
      <w:r w:rsidRPr="004B4229">
        <w:rPr>
          <w:i/>
          <w:lang w:val="en-GB"/>
        </w:rPr>
        <w:t xml:space="preserve"> (ES) 20</w:t>
      </w:r>
      <w:r>
        <w:rPr>
          <w:i/>
          <w:lang w:val="en-GB"/>
        </w:rPr>
        <w:t>26</w:t>
      </w:r>
      <w:r w:rsidRPr="004B4229">
        <w:rPr>
          <w:i/>
          <w:lang w:val="en-GB"/>
        </w:rPr>
        <w:t>/</w:t>
      </w:r>
      <w:r>
        <w:rPr>
          <w:i/>
          <w:lang w:val="en-GB"/>
        </w:rPr>
        <w:t>85</w:t>
      </w:r>
      <w:r w:rsidR="00565F84">
        <w:rPr>
          <w:i/>
          <w:lang w:val="en-GB"/>
        </w:rPr>
        <w:t>0</w:t>
      </w:r>
      <w:r w:rsidRPr="004B4229">
        <w:rPr>
          <w:i/>
          <w:lang w:val="en-GB"/>
        </w:rPr>
        <w:t>.)</w:t>
      </w:r>
    </w:p>
    <w:sectPr w:rsidR="00E365E1" w:rsidRPr="004B1E0F" w:rsidSect="004B1E0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37B56" w14:textId="77777777" w:rsidR="00E80455" w:rsidRPr="004B1E0F" w:rsidRDefault="00E80455">
      <w:r w:rsidRPr="004B1E0F">
        <w:separator/>
      </w:r>
    </w:p>
  </w:endnote>
  <w:endnote w:type="continuationSeparator" w:id="0">
    <w:p w14:paraId="684F4F2D" w14:textId="77777777" w:rsidR="00E80455" w:rsidRPr="004B1E0F" w:rsidRDefault="00E80455">
      <w:r w:rsidRPr="004B1E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CAD5" w14:textId="77777777" w:rsidR="00BB5828" w:rsidRPr="004B1E0F" w:rsidRDefault="00BB5828" w:rsidP="00E91813">
    <w:pPr>
      <w:pStyle w:val="EPFooter"/>
    </w:pPr>
    <w:r w:rsidRPr="004B1E0F">
      <w:t>PE</w:t>
    </w:r>
    <w:r w:rsidRPr="004B1E0F">
      <w:rPr>
        <w:rStyle w:val="HideTWBExt"/>
      </w:rPr>
      <w:t>&lt;NoPE&gt;</w:t>
    </w:r>
    <w:r w:rsidRPr="004B1E0F">
      <w:t>784.472</w:t>
    </w:r>
    <w:r w:rsidRPr="004B1E0F">
      <w:rPr>
        <w:rStyle w:val="HideTWBExt"/>
      </w:rPr>
      <w:t>&lt;/NoPE&gt;&lt;Version&gt;</w:t>
    </w:r>
    <w:r w:rsidRPr="004B1E0F">
      <w:t>v02-00</w:t>
    </w:r>
    <w:r w:rsidRPr="004B1E0F">
      <w:rPr>
        <w:rStyle w:val="HideTWBExt"/>
      </w:rPr>
      <w:t>&lt;/Version&gt;</w:t>
    </w:r>
    <w:r w:rsidRPr="004B1E0F">
      <w:tab/>
    </w:r>
    <w:r w:rsidRPr="004B1E0F">
      <w:fldChar w:fldCharType="begin"/>
    </w:r>
    <w:r w:rsidRPr="004B1E0F">
      <w:instrText xml:space="preserve"> PAGE  \* MERGEFORMAT </w:instrText>
    </w:r>
    <w:r w:rsidRPr="004B1E0F">
      <w:fldChar w:fldCharType="separate"/>
    </w:r>
    <w:r w:rsidRPr="004B1E0F">
      <w:rPr>
        <w:noProof/>
      </w:rPr>
      <w:t>1</w:t>
    </w:r>
    <w:r w:rsidRPr="004B1E0F">
      <w:fldChar w:fldCharType="end"/>
    </w:r>
    <w:r w:rsidRPr="004B1E0F">
      <w:t>/</w:t>
    </w:r>
    <w:fldSimple w:instr=" NUMPAGES  \* MERGEFORMAT ">
      <w:r w:rsidRPr="004B1E0F">
        <w:rPr>
          <w:noProof/>
        </w:rPr>
        <w:t>1</w:t>
      </w:r>
    </w:fldSimple>
    <w:r w:rsidRPr="004B1E0F">
      <w:tab/>
    </w:r>
    <w:r w:rsidRPr="004B1E0F">
      <w:rPr>
        <w:rStyle w:val="HideTWBExt"/>
      </w:rPr>
      <w:t>&lt;PathFdR&gt;</w:t>
    </w:r>
    <w:r w:rsidRPr="004B1E0F">
      <w:t>RR\1339711LT.docx</w:t>
    </w:r>
    <w:r w:rsidRPr="004B1E0F">
      <w:rPr>
        <w:rStyle w:val="HideTWBExt"/>
      </w:rPr>
      <w:t>&lt;/PathFdR&gt;</w:t>
    </w:r>
  </w:p>
  <w:p w14:paraId="482B33CE" w14:textId="77777777" w:rsidR="00BB5828" w:rsidRPr="004B1E0F" w:rsidRDefault="00BB5828" w:rsidP="00E91813">
    <w:pPr>
      <w:pStyle w:val="EPFooter2"/>
    </w:pPr>
    <w:r w:rsidRPr="004B1E0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61C3" w14:textId="4AFB2CF4" w:rsidR="00BB5828" w:rsidRPr="005264D0" w:rsidRDefault="00BB5828" w:rsidP="00511C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2814" w14:textId="77777777" w:rsidR="00BB5828" w:rsidRPr="004B1E0F" w:rsidRDefault="00BB5828" w:rsidP="00E91813">
    <w:pPr>
      <w:pStyle w:val="EPFooter"/>
    </w:pPr>
    <w:r w:rsidRPr="004B1E0F">
      <w:rPr>
        <w:rStyle w:val="HideTWBExt"/>
      </w:rPr>
      <w:t>&lt;PathFdR&gt;</w:t>
    </w:r>
    <w:r w:rsidRPr="004B1E0F">
      <w:t>RR\1339711LT.docx</w:t>
    </w:r>
    <w:r w:rsidRPr="004B1E0F">
      <w:rPr>
        <w:rStyle w:val="HideTWBExt"/>
      </w:rPr>
      <w:t>&lt;/PathFdR&gt;</w:t>
    </w:r>
    <w:r w:rsidRPr="004B1E0F">
      <w:tab/>
    </w:r>
    <w:r w:rsidRPr="004B1E0F">
      <w:tab/>
      <w:t>PE</w:t>
    </w:r>
    <w:r w:rsidRPr="004B1E0F">
      <w:rPr>
        <w:rStyle w:val="HideTWBExt"/>
      </w:rPr>
      <w:t>&lt;NoPE&gt;</w:t>
    </w:r>
    <w:r w:rsidRPr="004B1E0F">
      <w:t>784.472</w:t>
    </w:r>
    <w:r w:rsidRPr="004B1E0F">
      <w:rPr>
        <w:rStyle w:val="HideTWBExt"/>
      </w:rPr>
      <w:t>&lt;/NoPE&gt;&lt;Version&gt;</w:t>
    </w:r>
    <w:r w:rsidRPr="004B1E0F">
      <w:t>v02-00</w:t>
    </w:r>
    <w:r w:rsidRPr="004B1E0F">
      <w:rPr>
        <w:rStyle w:val="HideTWBExt"/>
      </w:rPr>
      <w:t>&lt;/Version&gt;</w:t>
    </w:r>
  </w:p>
  <w:p w14:paraId="21B47CAE" w14:textId="77777777" w:rsidR="00BB5828" w:rsidRPr="004B1E0F" w:rsidRDefault="00BB5828" w:rsidP="00E91813">
    <w:pPr>
      <w:pStyle w:val="EPFooter2"/>
    </w:pPr>
    <w:r w:rsidRPr="004B1E0F">
      <w:t>LT</w:t>
    </w:r>
    <w:r w:rsidRPr="004B1E0F">
      <w:tab/>
    </w:r>
    <w:r w:rsidRPr="004B1E0F">
      <w:rPr>
        <w:b w:val="0"/>
        <w:i/>
        <w:color w:val="C0C0C0"/>
        <w:sz w:val="22"/>
      </w:rPr>
      <w:t>Suvienijusi įvairovę</w:t>
    </w:r>
    <w:r w:rsidRPr="004B1E0F">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A69B" w14:textId="77777777" w:rsidR="00064002" w:rsidRPr="004B1E0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1305" w14:textId="77777777" w:rsidR="00064002" w:rsidRPr="004B1E0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86EB" w14:textId="77777777" w:rsidR="00064002" w:rsidRPr="004B1E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511E" w14:textId="77777777" w:rsidR="00E80455" w:rsidRPr="004B1E0F" w:rsidRDefault="00E80455">
      <w:r w:rsidRPr="004B1E0F">
        <w:separator/>
      </w:r>
    </w:p>
  </w:footnote>
  <w:footnote w:type="continuationSeparator" w:id="0">
    <w:p w14:paraId="54B94B85" w14:textId="77777777" w:rsidR="00E80455" w:rsidRPr="004B1E0F" w:rsidRDefault="00E80455">
      <w:r w:rsidRPr="004B1E0F">
        <w:continuationSeparator/>
      </w:r>
    </w:p>
  </w:footnote>
  <w:footnote w:id="1">
    <w:p w14:paraId="7CD88BC0" w14:textId="76F5D208" w:rsidR="00BB5828" w:rsidRPr="004B1E0F" w:rsidRDefault="00BB5828" w:rsidP="004B1E0F">
      <w:pPr>
        <w:pStyle w:val="FootnoteText"/>
        <w:ind w:left="567" w:hanging="567"/>
        <w:rPr>
          <w:sz w:val="24"/>
          <w:lang w:val="lt-LT"/>
        </w:rPr>
      </w:pPr>
      <w:r w:rsidRPr="004B1E0F">
        <w:rPr>
          <w:rStyle w:val="FootnoteReference"/>
          <w:sz w:val="24"/>
          <w:lang w:val="lt-LT"/>
        </w:rPr>
        <w:footnoteRef/>
      </w:r>
      <w:r w:rsidR="004B1E0F" w:rsidRPr="004B1E0F">
        <w:rPr>
          <w:sz w:val="24"/>
          <w:lang w:val="lt-LT"/>
        </w:rPr>
        <w:t xml:space="preserve"> </w:t>
      </w:r>
      <w:r w:rsidR="004B1E0F" w:rsidRPr="004B1E0F">
        <w:rPr>
          <w:sz w:val="24"/>
          <w:lang w:val="lt-LT"/>
        </w:rPr>
        <w:tab/>
      </w:r>
      <w:r w:rsidRPr="004B1E0F">
        <w:rPr>
          <w:sz w:val="24"/>
          <w:lang w:val="lt-LT"/>
        </w:rPr>
        <w:t xml:space="preserve">OL L 153, 2021 5 3, p. 48, ELI: </w:t>
      </w:r>
      <w:hyperlink r:id="rId1" w:history="1">
        <w:r w:rsidRPr="004B1E0F">
          <w:rPr>
            <w:rStyle w:val="Hyperlink"/>
            <w:sz w:val="24"/>
            <w:lang w:val="lt-LT"/>
          </w:rPr>
          <w:t>http://data.europa.eu/eli/reg/2021/691/oj</w:t>
        </w:r>
      </w:hyperlink>
      <w:r w:rsidRPr="004B1E0F">
        <w:rPr>
          <w:sz w:val="24"/>
          <w:lang w:val="lt-LT"/>
        </w:rPr>
        <w:t>.</w:t>
      </w:r>
    </w:p>
  </w:footnote>
  <w:footnote w:id="2">
    <w:p w14:paraId="1A763166" w14:textId="18C0F069" w:rsidR="00BB5828" w:rsidRPr="004B1E0F" w:rsidRDefault="00BB5828" w:rsidP="004B1E0F">
      <w:pPr>
        <w:pStyle w:val="FootnoteText"/>
        <w:ind w:left="567" w:hanging="567"/>
        <w:rPr>
          <w:sz w:val="24"/>
          <w:lang w:val="lt-LT"/>
        </w:rPr>
      </w:pPr>
      <w:r w:rsidRPr="004B1E0F">
        <w:rPr>
          <w:rStyle w:val="FootnoteReference"/>
          <w:sz w:val="24"/>
          <w:lang w:val="lt-LT"/>
        </w:rPr>
        <w:footnoteRef/>
      </w:r>
      <w:r w:rsidR="004B1E0F" w:rsidRPr="004B1E0F">
        <w:rPr>
          <w:sz w:val="24"/>
          <w:lang w:val="lt-LT"/>
        </w:rPr>
        <w:t xml:space="preserve"> </w:t>
      </w:r>
      <w:r w:rsidR="004B1E0F" w:rsidRPr="004B1E0F">
        <w:rPr>
          <w:sz w:val="24"/>
          <w:lang w:val="lt-LT"/>
        </w:rPr>
        <w:tab/>
      </w:r>
      <w:r w:rsidRPr="004B1E0F">
        <w:rPr>
          <w:sz w:val="24"/>
          <w:lang w:val="lt-LT"/>
        </w:rPr>
        <w:t xml:space="preserve">OL L 433 I, 2020 12 22, p. 11, ELI: </w:t>
      </w:r>
      <w:hyperlink r:id="rId2" w:history="1">
        <w:r w:rsidRPr="004B1E0F">
          <w:rPr>
            <w:rStyle w:val="Hyperlink"/>
            <w:sz w:val="24"/>
            <w:lang w:val="lt-LT"/>
          </w:rPr>
          <w:t>http://data.europa.eu/eli/reg/2020/2093/oj</w:t>
        </w:r>
      </w:hyperlink>
      <w:r w:rsidRPr="004B1E0F">
        <w:rPr>
          <w:sz w:val="24"/>
          <w:lang w:val="lt-LT"/>
        </w:rPr>
        <w:t>.</w:t>
      </w:r>
    </w:p>
  </w:footnote>
  <w:footnote w:id="3">
    <w:p w14:paraId="4351D837" w14:textId="20AA6563" w:rsidR="00BB5828" w:rsidRPr="004B1E0F" w:rsidRDefault="00BB5828" w:rsidP="004B1E0F">
      <w:pPr>
        <w:pStyle w:val="FootnoteText"/>
        <w:ind w:left="567" w:hanging="567"/>
        <w:rPr>
          <w:sz w:val="24"/>
          <w:lang w:val="lt-LT"/>
        </w:rPr>
      </w:pPr>
      <w:r w:rsidRPr="004B1E0F">
        <w:rPr>
          <w:rStyle w:val="FootnoteReference"/>
          <w:sz w:val="24"/>
          <w:lang w:val="lt-LT"/>
        </w:rPr>
        <w:footnoteRef/>
      </w:r>
      <w:r w:rsidR="004B1E0F" w:rsidRPr="004B1E0F">
        <w:rPr>
          <w:sz w:val="24"/>
          <w:shd w:val="clear" w:color="auto" w:fill="FFFFFF"/>
          <w:lang w:val="lt-LT"/>
        </w:rPr>
        <w:t xml:space="preserve"> </w:t>
      </w:r>
      <w:r w:rsidR="004B1E0F" w:rsidRPr="004B1E0F">
        <w:rPr>
          <w:sz w:val="24"/>
          <w:shd w:val="clear" w:color="auto" w:fill="FFFFFF"/>
          <w:lang w:val="lt-LT"/>
        </w:rPr>
        <w:tab/>
      </w:r>
      <w:r w:rsidRPr="004B1E0F">
        <w:rPr>
          <w:sz w:val="24"/>
          <w:shd w:val="clear" w:color="auto" w:fill="FFFFFF"/>
          <w:lang w:val="lt-LT"/>
        </w:rPr>
        <w:t xml:space="preserve">2024 m. vasario 29 d. Tarybos reglamentas (ES, Euratomas) 2024/765, kuriuo iš dalies keičiamas Reglamentas (ES, Euratomas) 2020/2093, kuriuo nustatoma 2021–2027 m. daugiametė finansinė programa (OL L, 2024/765, 2024 2 29, ELI: </w:t>
      </w:r>
      <w:hyperlink r:id="rId3" w:history="1">
        <w:r w:rsidRPr="004B1E0F">
          <w:rPr>
            <w:rStyle w:val="Hyperlink"/>
            <w:sz w:val="24"/>
            <w:shd w:val="clear" w:color="auto" w:fill="FFFFFF"/>
            <w:lang w:val="lt-LT"/>
          </w:rPr>
          <w:t>http://data.europa.eu/eli/reg/2024/765/oj</w:t>
        </w:r>
      </w:hyperlink>
      <w:r w:rsidRPr="004B1E0F">
        <w:rPr>
          <w:sz w:val="24"/>
          <w:shd w:val="clear" w:color="auto" w:fill="FFFFFF"/>
          <w:lang w:val="lt-LT"/>
        </w:rPr>
        <w:t>)</w:t>
      </w:r>
      <w:r w:rsidRPr="004B1E0F">
        <w:rPr>
          <w:i/>
          <w:sz w:val="24"/>
          <w:shd w:val="clear" w:color="auto" w:fill="FFFFFF"/>
          <w:lang w:val="lt-LT"/>
        </w:rPr>
        <w:t>.</w:t>
      </w:r>
    </w:p>
  </w:footnote>
  <w:footnote w:id="4">
    <w:p w14:paraId="35E09EBB" w14:textId="5CD978A7" w:rsidR="00BB5828" w:rsidRPr="004B1E0F" w:rsidRDefault="00BB5828" w:rsidP="004B1E0F">
      <w:pPr>
        <w:pStyle w:val="FootnoteText"/>
        <w:ind w:left="567" w:hanging="567"/>
        <w:rPr>
          <w:sz w:val="24"/>
          <w:lang w:val="lt-LT"/>
        </w:rPr>
      </w:pPr>
      <w:r w:rsidRPr="004B1E0F">
        <w:rPr>
          <w:rStyle w:val="FootnoteReference"/>
          <w:sz w:val="24"/>
          <w:lang w:val="lt-LT"/>
        </w:rPr>
        <w:footnoteRef/>
      </w:r>
      <w:r w:rsidR="004B1E0F" w:rsidRPr="004B1E0F">
        <w:rPr>
          <w:sz w:val="24"/>
          <w:lang w:val="lt-LT"/>
        </w:rPr>
        <w:t xml:space="preserve"> </w:t>
      </w:r>
      <w:r w:rsidR="004B1E0F" w:rsidRPr="004B1E0F">
        <w:rPr>
          <w:sz w:val="24"/>
          <w:lang w:val="lt-LT"/>
        </w:rPr>
        <w:tab/>
      </w:r>
      <w:r w:rsidRPr="004B1E0F">
        <w:rPr>
          <w:sz w:val="24"/>
          <w:lang w:val="lt-LT"/>
        </w:rPr>
        <w:t xml:space="preserve">OL L 433 I, 2020 12 22, p. 28, ELI: </w:t>
      </w:r>
      <w:hyperlink r:id="rId4" w:history="1">
        <w:r w:rsidRPr="004B1E0F">
          <w:rPr>
            <w:rStyle w:val="Hyperlink"/>
            <w:sz w:val="24"/>
            <w:lang w:val="lt-LT"/>
          </w:rPr>
          <w:t>http://data.europa.eu/eli/agree_interinstit/2020/1222/oj</w:t>
        </w:r>
      </w:hyperlink>
      <w:r w:rsidRPr="004B1E0F">
        <w:rPr>
          <w:sz w:val="24"/>
          <w:lang w:val="lt-LT"/>
        </w:rPr>
        <w:t>.</w:t>
      </w:r>
    </w:p>
  </w:footnote>
  <w:footnote w:id="5">
    <w:p w14:paraId="0536433B" w14:textId="17D252DA" w:rsidR="00BB5828" w:rsidRPr="004B1E0F" w:rsidRDefault="00BB5828" w:rsidP="004B1E0F">
      <w:pPr>
        <w:pStyle w:val="FootnoteText"/>
        <w:ind w:left="567" w:hanging="567"/>
        <w:rPr>
          <w:sz w:val="24"/>
          <w:lang w:val="lt-LT"/>
        </w:rPr>
      </w:pPr>
      <w:r w:rsidRPr="004B1E0F">
        <w:rPr>
          <w:rStyle w:val="FootnoteReference"/>
          <w:sz w:val="24"/>
          <w:lang w:val="lt-LT"/>
        </w:rPr>
        <w:footnoteRef/>
      </w:r>
      <w:r w:rsidR="004B1E0F" w:rsidRPr="004B1E0F">
        <w:rPr>
          <w:sz w:val="24"/>
          <w:lang w:val="lt-LT"/>
        </w:rPr>
        <w:t xml:space="preserve"> </w:t>
      </w:r>
      <w:r w:rsidR="004B1E0F" w:rsidRPr="004B1E0F">
        <w:rPr>
          <w:sz w:val="24"/>
          <w:lang w:val="lt-LT"/>
        </w:rPr>
        <w:tab/>
      </w:r>
      <w:r w:rsidRPr="004B1E0F">
        <w:rPr>
          <w:sz w:val="24"/>
          <w:lang w:val="lt-LT"/>
        </w:rPr>
        <w:t>Pagal EGF reglamento 3 straipsnį.</w:t>
      </w:r>
    </w:p>
  </w:footnote>
  <w:footnote w:id="6">
    <w:p w14:paraId="0DBDD301" w14:textId="61A6649C" w:rsidR="00BB5828" w:rsidRPr="004B1E0F" w:rsidRDefault="00BB5828" w:rsidP="004B1E0F">
      <w:pPr>
        <w:pStyle w:val="FootnoteText"/>
        <w:ind w:left="567" w:hanging="567"/>
        <w:rPr>
          <w:sz w:val="24"/>
          <w:lang w:val="lt-LT"/>
        </w:rPr>
      </w:pPr>
      <w:r w:rsidRPr="004B1E0F">
        <w:rPr>
          <w:rStyle w:val="FootnoteReference"/>
          <w:sz w:val="24"/>
          <w:lang w:val="lt-LT"/>
        </w:rPr>
        <w:footnoteRef/>
      </w:r>
      <w:r w:rsidR="004B1E0F" w:rsidRPr="004B1E0F">
        <w:rPr>
          <w:sz w:val="24"/>
          <w:lang w:val="lt-LT"/>
        </w:rPr>
        <w:t xml:space="preserve"> </w:t>
      </w:r>
      <w:r w:rsidR="004B1E0F" w:rsidRPr="004B1E0F">
        <w:rPr>
          <w:sz w:val="24"/>
          <w:lang w:val="lt-LT"/>
        </w:rPr>
        <w:tab/>
      </w:r>
      <w:r w:rsidRPr="004B1E0F">
        <w:rPr>
          <w:sz w:val="24"/>
          <w:lang w:val="lt-LT"/>
        </w:rPr>
        <w:t>DFP reglamento 8 straipsnis.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B221" w14:textId="77777777" w:rsidR="00064002" w:rsidRPr="004B1E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56EC4" w14:textId="77777777" w:rsidR="00064002" w:rsidRPr="004B1E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2266" w14:textId="77777777" w:rsidR="00064002" w:rsidRPr="004B1E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4673662">
    <w:abstractNumId w:val="9"/>
  </w:num>
  <w:num w:numId="2" w16cid:durableId="406995662">
    <w:abstractNumId w:val="9"/>
  </w:num>
  <w:num w:numId="3" w16cid:durableId="614487376">
    <w:abstractNumId w:val="7"/>
  </w:num>
  <w:num w:numId="4" w16cid:durableId="1049573489">
    <w:abstractNumId w:val="7"/>
  </w:num>
  <w:num w:numId="5" w16cid:durableId="267977668">
    <w:abstractNumId w:val="6"/>
  </w:num>
  <w:num w:numId="6" w16cid:durableId="871767347">
    <w:abstractNumId w:val="6"/>
  </w:num>
  <w:num w:numId="7" w16cid:durableId="1652759023">
    <w:abstractNumId w:val="5"/>
  </w:num>
  <w:num w:numId="8" w16cid:durableId="1762995071">
    <w:abstractNumId w:val="5"/>
  </w:num>
  <w:num w:numId="9" w16cid:durableId="486633888">
    <w:abstractNumId w:val="4"/>
  </w:num>
  <w:num w:numId="10" w16cid:durableId="318122367">
    <w:abstractNumId w:val="4"/>
  </w:num>
  <w:num w:numId="11" w16cid:durableId="656613201">
    <w:abstractNumId w:val="8"/>
  </w:num>
  <w:num w:numId="12" w16cid:durableId="884103993">
    <w:abstractNumId w:val="8"/>
  </w:num>
  <w:num w:numId="13" w16cid:durableId="858157053">
    <w:abstractNumId w:val="3"/>
  </w:num>
  <w:num w:numId="14" w16cid:durableId="1804039339">
    <w:abstractNumId w:val="3"/>
  </w:num>
  <w:num w:numId="15" w16cid:durableId="1324771151">
    <w:abstractNumId w:val="2"/>
  </w:num>
  <w:num w:numId="16" w16cid:durableId="1890802457">
    <w:abstractNumId w:val="2"/>
  </w:num>
  <w:num w:numId="17" w16cid:durableId="1891377764">
    <w:abstractNumId w:val="1"/>
  </w:num>
  <w:num w:numId="18" w16cid:durableId="1637493599">
    <w:abstractNumId w:val="1"/>
  </w:num>
  <w:num w:numId="19" w16cid:durableId="1238124693">
    <w:abstractNumId w:val="0"/>
  </w:num>
  <w:num w:numId="20" w16cid:durableId="2119762385">
    <w:abstractNumId w:val="0"/>
  </w:num>
  <w:num w:numId="21" w16cid:durableId="395051571">
    <w:abstractNumId w:val="9"/>
  </w:num>
  <w:num w:numId="22" w16cid:durableId="1772507734">
    <w:abstractNumId w:val="7"/>
  </w:num>
  <w:num w:numId="23" w16cid:durableId="697047512">
    <w:abstractNumId w:val="6"/>
  </w:num>
  <w:num w:numId="24" w16cid:durableId="1706565339">
    <w:abstractNumId w:val="5"/>
  </w:num>
  <w:num w:numId="25" w16cid:durableId="1025210518">
    <w:abstractNumId w:val="4"/>
  </w:num>
  <w:num w:numId="26" w16cid:durableId="270742951">
    <w:abstractNumId w:val="8"/>
  </w:num>
  <w:num w:numId="27" w16cid:durableId="1836919913">
    <w:abstractNumId w:val="3"/>
  </w:num>
  <w:num w:numId="28" w16cid:durableId="1428888064">
    <w:abstractNumId w:val="2"/>
  </w:num>
  <w:num w:numId="29" w16cid:durableId="1801681504">
    <w:abstractNumId w:val="1"/>
  </w:num>
  <w:num w:numId="30" w16cid:durableId="743918359">
    <w:abstractNumId w:val="0"/>
  </w:num>
  <w:num w:numId="31" w16cid:durableId="911239648">
    <w:abstractNumId w:val="9"/>
  </w:num>
  <w:num w:numId="32" w16cid:durableId="364796591">
    <w:abstractNumId w:val="7"/>
  </w:num>
  <w:num w:numId="33" w16cid:durableId="2098793932">
    <w:abstractNumId w:val="6"/>
  </w:num>
  <w:num w:numId="34" w16cid:durableId="26488477">
    <w:abstractNumId w:val="5"/>
  </w:num>
  <w:num w:numId="35" w16cid:durableId="589972208">
    <w:abstractNumId w:val="4"/>
  </w:num>
  <w:num w:numId="36" w16cid:durableId="816268859">
    <w:abstractNumId w:val="8"/>
  </w:num>
  <w:num w:numId="37" w16cid:durableId="1726635285">
    <w:abstractNumId w:val="3"/>
  </w:num>
  <w:num w:numId="38" w16cid:durableId="1445927193">
    <w:abstractNumId w:val="2"/>
  </w:num>
  <w:num w:numId="39" w16cid:durableId="1294748092">
    <w:abstractNumId w:val="1"/>
  </w:num>
  <w:num w:numId="40" w16cid:durableId="1117219446">
    <w:abstractNumId w:val="0"/>
  </w:num>
  <w:num w:numId="41" w16cid:durableId="1027634535">
    <w:abstractNumId w:val="10"/>
  </w:num>
  <w:num w:numId="42" w16cid:durableId="1222449906">
    <w:abstractNumId w:val="10"/>
  </w:num>
  <w:num w:numId="43" w16cid:durableId="1215583090">
    <w:abstractNumId w:val="10"/>
  </w:num>
  <w:num w:numId="44" w16cid:durableId="527645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LT"/>
    <w:docVar w:name="dvnumam" w:val="0"/>
    <w:docVar w:name="dvpe" w:val="784.472"/>
    <w:docVar w:name="dvrapporteur" w:val="Pranešėjas: "/>
    <w:docVar w:name="dvtitre" w:val="2026 m. ... ... d. Europos Parlamento rezoliucija dėl pasiūlymo dėl Europos Parlamento ir Tarybos sprendimo dėl Europos prisitaikymo prie globalizacijos padarinių fondo atleistiems darbuotojams lėšų mobilizavimo pagal Austrijos paraišką „EGF/2025/005 AT/KTM“(COM(2026)0010 – C10-0026/2026 – 2026/0037(BUD))"/>
  </w:docVars>
  <w:rsids>
    <w:rsidRoot w:val="00E80455"/>
    <w:rsid w:val="00002272"/>
    <w:rsid w:val="0003456A"/>
    <w:rsid w:val="00064002"/>
    <w:rsid w:val="000677B9"/>
    <w:rsid w:val="000831BA"/>
    <w:rsid w:val="000A42CC"/>
    <w:rsid w:val="000E7DD9"/>
    <w:rsid w:val="0010095E"/>
    <w:rsid w:val="00125B37"/>
    <w:rsid w:val="00187494"/>
    <w:rsid w:val="001D1010"/>
    <w:rsid w:val="001F32AE"/>
    <w:rsid w:val="002767FF"/>
    <w:rsid w:val="002B18FE"/>
    <w:rsid w:val="002B5493"/>
    <w:rsid w:val="00343214"/>
    <w:rsid w:val="00361ACA"/>
    <w:rsid w:val="00361C00"/>
    <w:rsid w:val="003630C0"/>
    <w:rsid w:val="00395FA1"/>
    <w:rsid w:val="003E15D4"/>
    <w:rsid w:val="00411CCE"/>
    <w:rsid w:val="0041666E"/>
    <w:rsid w:val="00421060"/>
    <w:rsid w:val="00471C19"/>
    <w:rsid w:val="004867E3"/>
    <w:rsid w:val="00494A28"/>
    <w:rsid w:val="004B1E0F"/>
    <w:rsid w:val="004C0004"/>
    <w:rsid w:val="004C5D52"/>
    <w:rsid w:val="0050519A"/>
    <w:rsid w:val="005072A1"/>
    <w:rsid w:val="00511CD3"/>
    <w:rsid w:val="00514517"/>
    <w:rsid w:val="005264D0"/>
    <w:rsid w:val="00545827"/>
    <w:rsid w:val="00560270"/>
    <w:rsid w:val="00565F84"/>
    <w:rsid w:val="005C2568"/>
    <w:rsid w:val="005F1B17"/>
    <w:rsid w:val="006037C0"/>
    <w:rsid w:val="006631B6"/>
    <w:rsid w:val="006703B2"/>
    <w:rsid w:val="00680577"/>
    <w:rsid w:val="006F74FA"/>
    <w:rsid w:val="00731ADD"/>
    <w:rsid w:val="00734777"/>
    <w:rsid w:val="00747932"/>
    <w:rsid w:val="00751A4A"/>
    <w:rsid w:val="00756632"/>
    <w:rsid w:val="00762C74"/>
    <w:rsid w:val="00786EC0"/>
    <w:rsid w:val="007D1690"/>
    <w:rsid w:val="007E22AD"/>
    <w:rsid w:val="00817416"/>
    <w:rsid w:val="00842779"/>
    <w:rsid w:val="00857AF3"/>
    <w:rsid w:val="00865F67"/>
    <w:rsid w:val="00881A7B"/>
    <w:rsid w:val="008840E5"/>
    <w:rsid w:val="00887B3E"/>
    <w:rsid w:val="008C2AC6"/>
    <w:rsid w:val="00930C23"/>
    <w:rsid w:val="0093193B"/>
    <w:rsid w:val="009509D8"/>
    <w:rsid w:val="00950B64"/>
    <w:rsid w:val="0097114B"/>
    <w:rsid w:val="00981893"/>
    <w:rsid w:val="00993C56"/>
    <w:rsid w:val="009C7CF3"/>
    <w:rsid w:val="00A042B5"/>
    <w:rsid w:val="00A1687D"/>
    <w:rsid w:val="00A43E52"/>
    <w:rsid w:val="00A4678D"/>
    <w:rsid w:val="00A778C7"/>
    <w:rsid w:val="00AB441E"/>
    <w:rsid w:val="00AB6293"/>
    <w:rsid w:val="00AE0928"/>
    <w:rsid w:val="00AF3B82"/>
    <w:rsid w:val="00B12E95"/>
    <w:rsid w:val="00B22876"/>
    <w:rsid w:val="00B54D1E"/>
    <w:rsid w:val="00B558F0"/>
    <w:rsid w:val="00BB5828"/>
    <w:rsid w:val="00BD48FE"/>
    <w:rsid w:val="00BD7BD8"/>
    <w:rsid w:val="00BE6ADC"/>
    <w:rsid w:val="00C05BFE"/>
    <w:rsid w:val="00C23CD4"/>
    <w:rsid w:val="00C61C0C"/>
    <w:rsid w:val="00C941CB"/>
    <w:rsid w:val="00CC2357"/>
    <w:rsid w:val="00CF071A"/>
    <w:rsid w:val="00D051EB"/>
    <w:rsid w:val="00D058B8"/>
    <w:rsid w:val="00D1504D"/>
    <w:rsid w:val="00D544FD"/>
    <w:rsid w:val="00D56C11"/>
    <w:rsid w:val="00D834A0"/>
    <w:rsid w:val="00D872DF"/>
    <w:rsid w:val="00D91E21"/>
    <w:rsid w:val="00D94C86"/>
    <w:rsid w:val="00DA7FCD"/>
    <w:rsid w:val="00E365E1"/>
    <w:rsid w:val="00E80455"/>
    <w:rsid w:val="00E820A4"/>
    <w:rsid w:val="00EB006A"/>
    <w:rsid w:val="00EB4772"/>
    <w:rsid w:val="00ED169E"/>
    <w:rsid w:val="00ED4235"/>
    <w:rsid w:val="00F04346"/>
    <w:rsid w:val="00F075DC"/>
    <w:rsid w:val="00F149E9"/>
    <w:rsid w:val="00F5134D"/>
    <w:rsid w:val="00F62F3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58DBF"/>
  <w15:chartTrackingRefBased/>
  <w15:docId w15:val="{D154790D-3EE4-4EE8-95E0-81F7B16FA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582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B5828"/>
    <w:pPr>
      <w:keepNext/>
      <w:spacing w:after="480"/>
      <w:jc w:val="center"/>
    </w:pPr>
    <w:rPr>
      <w:rFonts w:ascii="Arial" w:hAnsi="Arial" w:cs="Arial"/>
      <w:b/>
    </w:rPr>
  </w:style>
  <w:style w:type="paragraph" w:customStyle="1" w:styleId="NormalHanging12a">
    <w:name w:val="NormalHanging12a"/>
    <w:basedOn w:val="Normal"/>
    <w:link w:val="NormalHanging12aChar"/>
    <w:rsid w:val="00BB5828"/>
    <w:pPr>
      <w:spacing w:after="240"/>
      <w:ind w:left="567" w:hanging="567"/>
    </w:pPr>
  </w:style>
  <w:style w:type="paragraph" w:styleId="Header">
    <w:name w:val="header"/>
    <w:basedOn w:val="Normal"/>
    <w:link w:val="HeaderChar"/>
    <w:rsid w:val="00BB5828"/>
    <w:pPr>
      <w:tabs>
        <w:tab w:val="center" w:pos="4513"/>
        <w:tab w:val="right" w:pos="9026"/>
      </w:tabs>
    </w:pPr>
  </w:style>
  <w:style w:type="character" w:customStyle="1" w:styleId="HeaderChar">
    <w:name w:val="Header Char"/>
    <w:basedOn w:val="DefaultParagraphFont"/>
    <w:link w:val="Header"/>
    <w:rsid w:val="00BB5828"/>
    <w:rPr>
      <w:sz w:val="24"/>
      <w:lang w:val="lt-LT"/>
    </w:rPr>
  </w:style>
  <w:style w:type="paragraph" w:customStyle="1" w:styleId="EPFooter">
    <w:name w:val="EPFooter"/>
    <w:basedOn w:val="Normal"/>
    <w:rsid w:val="00BB5828"/>
    <w:pPr>
      <w:tabs>
        <w:tab w:val="center" w:pos="4535"/>
        <w:tab w:val="right" w:pos="9071"/>
      </w:tabs>
      <w:spacing w:before="240" w:after="240"/>
    </w:pPr>
    <w:rPr>
      <w:color w:val="010000"/>
      <w:sz w:val="22"/>
    </w:rPr>
  </w:style>
  <w:style w:type="paragraph" w:customStyle="1" w:styleId="EPComma">
    <w:name w:val="EPComma"/>
    <w:basedOn w:val="Normal"/>
    <w:rsid w:val="00BB5828"/>
    <w:pPr>
      <w:spacing w:before="480" w:after="240"/>
    </w:pPr>
  </w:style>
  <w:style w:type="character" w:styleId="Hyperlink">
    <w:name w:val="Hyperlink"/>
    <w:basedOn w:val="DefaultParagraphFont"/>
    <w:uiPriority w:val="99"/>
    <w:rsid w:val="00BB5828"/>
    <w:rPr>
      <w:color w:val="0563C1" w:themeColor="hyperlink"/>
      <w:u w:val="single"/>
    </w:rPr>
  </w:style>
  <w:style w:type="character" w:customStyle="1" w:styleId="NormalHanging12aChar">
    <w:name w:val="NormalHanging12a Char"/>
    <w:basedOn w:val="DefaultParagraphFont"/>
    <w:link w:val="NormalHanging12a"/>
    <w:locked/>
    <w:rsid w:val="00BB5828"/>
    <w:rPr>
      <w:sz w:val="24"/>
      <w:lang w:val="lt-LT"/>
    </w:rPr>
  </w:style>
  <w:style w:type="paragraph" w:customStyle="1" w:styleId="Institutionquisigne">
    <w:name w:val="Institution qui signe"/>
    <w:basedOn w:val="Normal"/>
    <w:next w:val="Personnequisigne"/>
    <w:rsid w:val="00BB5828"/>
    <w:pPr>
      <w:keepNext/>
      <w:widowControl/>
      <w:tabs>
        <w:tab w:val="left" w:pos="5669"/>
      </w:tabs>
      <w:spacing w:before="720" w:line="360" w:lineRule="auto"/>
    </w:pPr>
    <w:rPr>
      <w:rFonts w:eastAsiaTheme="minorHAnsi"/>
      <w:i/>
      <w:szCs w:val="22"/>
      <w:lang w:eastAsia="lt-LT" w:bidi="lt-LT"/>
    </w:rPr>
  </w:style>
  <w:style w:type="paragraph" w:customStyle="1" w:styleId="Personnequisigne">
    <w:name w:val="Personne qui signe"/>
    <w:basedOn w:val="Normal"/>
    <w:next w:val="Institutionquisigne"/>
    <w:rsid w:val="00BB5828"/>
    <w:pPr>
      <w:widowControl/>
      <w:tabs>
        <w:tab w:val="left" w:pos="5669"/>
      </w:tabs>
      <w:spacing w:line="360" w:lineRule="auto"/>
    </w:pPr>
    <w:rPr>
      <w:rFonts w:eastAsiaTheme="minorHAnsi"/>
      <w:i/>
      <w:szCs w:val="22"/>
      <w:lang w:eastAsia="lt-LT" w:bidi="lt-LT"/>
    </w:rPr>
  </w:style>
  <w:style w:type="paragraph" w:customStyle="1" w:styleId="Lignefinal">
    <w:name w:val="Ligne final"/>
    <w:basedOn w:val="Normal"/>
    <w:next w:val="Normal"/>
    <w:rsid w:val="00BB5828"/>
    <w:pPr>
      <w:widowControl/>
      <w:pBdr>
        <w:bottom w:val="single" w:sz="4" w:space="0" w:color="000000"/>
      </w:pBdr>
      <w:spacing w:before="360" w:after="120" w:line="360" w:lineRule="auto"/>
      <w:ind w:left="3400" w:right="3400"/>
      <w:jc w:val="center"/>
    </w:pPr>
    <w:rPr>
      <w:rFonts w:eastAsiaTheme="minorHAnsi"/>
      <w:b/>
      <w:szCs w:val="22"/>
      <w:lang w:eastAsia="lt-LT" w:bidi="lt-LT"/>
    </w:rPr>
  </w:style>
  <w:style w:type="character" w:customStyle="1" w:styleId="PageHeadingChar">
    <w:name w:val="PageHeading Char"/>
    <w:basedOn w:val="DefaultParagraphFont"/>
    <w:link w:val="PageHeading"/>
    <w:rsid w:val="00BB5828"/>
    <w:rPr>
      <w:rFonts w:ascii="Arial" w:hAnsi="Arial" w:cs="Arial"/>
      <w:b/>
      <w:sz w:val="24"/>
      <w:lang w:val="lt-LT"/>
    </w:rPr>
  </w:style>
  <w:style w:type="paragraph" w:styleId="Revision">
    <w:name w:val="Revision"/>
    <w:hidden/>
    <w:uiPriority w:val="99"/>
    <w:semiHidden/>
    <w:rsid w:val="005264D0"/>
    <w:rPr>
      <w:sz w:val="24"/>
      <w:lang w:val="lt-LT"/>
    </w:rPr>
  </w:style>
  <w:style w:type="paragraph" w:styleId="Footer">
    <w:name w:val="footer"/>
    <w:basedOn w:val="Normal"/>
    <w:link w:val="FooterChar"/>
    <w:rsid w:val="005264D0"/>
    <w:pPr>
      <w:tabs>
        <w:tab w:val="center" w:pos="4513"/>
        <w:tab w:val="right" w:pos="9026"/>
      </w:tabs>
    </w:pPr>
  </w:style>
  <w:style w:type="character" w:customStyle="1" w:styleId="FooterChar">
    <w:name w:val="Footer Char"/>
    <w:basedOn w:val="DefaultParagraphFont"/>
    <w:link w:val="Footer"/>
    <w:rsid w:val="005264D0"/>
    <w:rPr>
      <w:sz w:val="24"/>
      <w:lang w:val="lt-LT"/>
    </w:rPr>
  </w:style>
  <w:style w:type="paragraph" w:customStyle="1" w:styleId="Institutionquiagit">
    <w:name w:val="Institution qui agit"/>
    <w:basedOn w:val="Normal"/>
    <w:next w:val="Normal"/>
    <w:rsid w:val="001D1010"/>
    <w:pPr>
      <w:keepNext/>
      <w:widowControl/>
      <w:spacing w:before="600" w:after="12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1342</Words>
  <Characters>8979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2026-05-12T16:31:00Z</dcterms:created>
  <dcterms:modified xsi:type="dcterms:W3CDTF">2026-05-12T16:31:00Z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P10_TA(2026)0103_</vt:lpwstr>
  </property>
  <property fmtid="{D5CDD505-2E9C-101B-9397-08002B2CF9AE}" pid="4" name="&lt;Type&gt;">
    <vt:lpwstr>RR</vt:lpwstr>
  </property>
</Properties>
</file>