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5010" w14:paraId="20E0CD6E" w14:textId="77777777" w:rsidTr="0010095E">
        <w:trPr>
          <w:trHeight w:hRule="exact" w:val="1418"/>
        </w:trPr>
        <w:tc>
          <w:tcPr>
            <w:tcW w:w="6804" w:type="dxa"/>
            <w:shd w:val="clear" w:color="auto" w:fill="auto"/>
            <w:vAlign w:val="center"/>
          </w:tcPr>
          <w:p w14:paraId="3BD495B8" w14:textId="77777777" w:rsidR="00751A4A" w:rsidRPr="00A45010" w:rsidRDefault="00B13ABB" w:rsidP="0010095E">
            <w:pPr>
              <w:pStyle w:val="EPName"/>
            </w:pPr>
            <w:r w:rsidRPr="00A45010">
              <w:t>Eiropas Parlaments</w:t>
            </w:r>
          </w:p>
          <w:p w14:paraId="6580860A" w14:textId="77777777" w:rsidR="00751A4A" w:rsidRPr="00A45010" w:rsidRDefault="005F1B17" w:rsidP="005F1B17">
            <w:pPr>
              <w:pStyle w:val="EPTerm"/>
              <w:rPr>
                <w:rStyle w:val="HideTWBExt"/>
                <w:noProof w:val="0"/>
                <w:vanish w:val="0"/>
                <w:color w:val="auto"/>
              </w:rPr>
            </w:pPr>
            <w:r w:rsidRPr="00A45010">
              <w:t>2024</w:t>
            </w:r>
            <w:r w:rsidR="00817416" w:rsidRPr="00A45010">
              <w:t>-202</w:t>
            </w:r>
            <w:r w:rsidRPr="00A45010">
              <w:t>9</w:t>
            </w:r>
          </w:p>
        </w:tc>
        <w:tc>
          <w:tcPr>
            <w:tcW w:w="2268" w:type="dxa"/>
            <w:shd w:val="clear" w:color="auto" w:fill="auto"/>
          </w:tcPr>
          <w:p w14:paraId="0EA31171" w14:textId="77777777" w:rsidR="00751A4A" w:rsidRPr="00A45010" w:rsidRDefault="00187494" w:rsidP="0010095E">
            <w:pPr>
              <w:pStyle w:val="EPLogo"/>
            </w:pPr>
            <w:r w:rsidRPr="00A45010">
              <w:rPr>
                <w:noProof/>
                <w:lang w:eastAsia="ja-JP"/>
              </w:rPr>
              <w:drawing>
                <wp:inline distT="0" distB="0" distL="0" distR="0" wp14:anchorId="1FD38F41" wp14:editId="122B83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35C355" w14:textId="77777777" w:rsidR="00D058B8" w:rsidRPr="00A45010" w:rsidRDefault="00D058B8" w:rsidP="004C5D52">
      <w:pPr>
        <w:pStyle w:val="LineTop"/>
      </w:pPr>
    </w:p>
    <w:p w14:paraId="089393EF" w14:textId="77777777" w:rsidR="00680577" w:rsidRPr="00A45010" w:rsidRDefault="00B13ABB" w:rsidP="00680577">
      <w:pPr>
        <w:pStyle w:val="EPBodyTA1"/>
      </w:pPr>
      <w:r w:rsidRPr="00A45010">
        <w:t>PIEŅEMTIE TEKSTI</w:t>
      </w:r>
    </w:p>
    <w:p w14:paraId="209EFBA3" w14:textId="77777777" w:rsidR="00D058B8" w:rsidRPr="00A45010" w:rsidRDefault="00D058B8" w:rsidP="00D058B8">
      <w:pPr>
        <w:pStyle w:val="LineBottom"/>
      </w:pPr>
    </w:p>
    <w:p w14:paraId="0E285E74" w14:textId="015EDB75" w:rsidR="00B13ABB" w:rsidRPr="00A45010" w:rsidRDefault="00B13ABB" w:rsidP="00B13ABB">
      <w:pPr>
        <w:pStyle w:val="ATHeading1"/>
      </w:pPr>
      <w:bookmarkStart w:id="0" w:name="TANumber"/>
      <w:r w:rsidRPr="00A45010">
        <w:t>P10_TA(2026)0</w:t>
      </w:r>
      <w:r w:rsidR="00A45010" w:rsidRPr="00A45010">
        <w:t>103</w:t>
      </w:r>
      <w:bookmarkEnd w:id="0"/>
    </w:p>
    <w:p w14:paraId="3DBC517F" w14:textId="739237EE" w:rsidR="00B13ABB" w:rsidRPr="00A45010" w:rsidRDefault="0078486C" w:rsidP="0078486C">
      <w:pPr>
        <w:pStyle w:val="ATHeading2"/>
      </w:pPr>
      <w:bookmarkStart w:id="1" w:name="title"/>
      <w:r w:rsidRPr="00A45010">
        <w:rPr>
          <w:bCs/>
        </w:rPr>
        <w:t>Eiropas Globalizācijas pielāgošanās fonda darbu zaudējušiem darba ņēmējiem izmantošana: Austrijas iesniegtais pieteikums EGF/2025/005 AT/KTM</w:t>
      </w:r>
      <w:bookmarkEnd w:id="1"/>
    </w:p>
    <w:p w14:paraId="7C8F484E" w14:textId="77777777" w:rsidR="00B13ABB" w:rsidRPr="00A45010" w:rsidRDefault="00B13ABB" w:rsidP="00B13ABB">
      <w:pPr>
        <w:rPr>
          <w:i/>
          <w:vanish/>
        </w:rPr>
      </w:pPr>
      <w:r w:rsidRPr="00A45010">
        <w:rPr>
          <w:i/>
        </w:rPr>
        <w:fldChar w:fldCharType="begin"/>
      </w:r>
      <w:r w:rsidRPr="00A45010">
        <w:rPr>
          <w:i/>
        </w:rPr>
        <w:instrText xml:space="preserve"> TC"(</w:instrText>
      </w:r>
      <w:bookmarkStart w:id="2" w:name="DocNumber"/>
      <w:r w:rsidRPr="00A45010">
        <w:rPr>
          <w:i/>
        </w:rPr>
        <w:instrText>A10-0060/2026</w:instrText>
      </w:r>
      <w:bookmarkEnd w:id="2"/>
      <w:r w:rsidRPr="00A45010">
        <w:rPr>
          <w:i/>
        </w:rPr>
        <w:instrText xml:space="preserve"> - Referents: Janusz Lewandowski)"\l3 \n&gt; \* MERGEFORMAT </w:instrText>
      </w:r>
      <w:r w:rsidRPr="00A45010">
        <w:rPr>
          <w:i/>
        </w:rPr>
        <w:fldChar w:fldCharType="end"/>
      </w:r>
    </w:p>
    <w:p w14:paraId="1FD5CA01" w14:textId="77777777" w:rsidR="00B13ABB" w:rsidRPr="00A45010" w:rsidRDefault="00B13ABB" w:rsidP="00B13ABB">
      <w:pPr>
        <w:rPr>
          <w:vanish/>
        </w:rPr>
      </w:pPr>
      <w:bookmarkStart w:id="3" w:name="Commission"/>
      <w:r w:rsidRPr="00A45010">
        <w:rPr>
          <w:vanish/>
        </w:rPr>
        <w:t>Budžeta komiteja</w:t>
      </w:r>
      <w:bookmarkEnd w:id="3"/>
    </w:p>
    <w:p w14:paraId="67B350F7" w14:textId="77777777" w:rsidR="00B13ABB" w:rsidRPr="00A45010" w:rsidRDefault="00B13ABB" w:rsidP="00B13ABB">
      <w:pPr>
        <w:rPr>
          <w:vanish/>
        </w:rPr>
      </w:pPr>
      <w:bookmarkStart w:id="4" w:name="PE"/>
      <w:r w:rsidRPr="00A45010">
        <w:rPr>
          <w:vanish/>
        </w:rPr>
        <w:t>PE784.472</w:t>
      </w:r>
      <w:bookmarkEnd w:id="4"/>
    </w:p>
    <w:p w14:paraId="6536144E" w14:textId="20C00DB6" w:rsidR="00B13ABB" w:rsidRPr="00A45010" w:rsidRDefault="00B13ABB" w:rsidP="00B13ABB">
      <w:pPr>
        <w:pStyle w:val="ATHeading3"/>
      </w:pPr>
      <w:bookmarkStart w:id="5" w:name="Sujet"/>
      <w:r w:rsidRPr="00A45010">
        <w:t xml:space="preserve">Eiropas Parlamenta 2026. gada </w:t>
      </w:r>
      <w:r w:rsidR="0078486C" w:rsidRPr="00A45010">
        <w:t xml:space="preserve">26. marta </w:t>
      </w:r>
      <w:r w:rsidRPr="00A45010">
        <w:t>rezolūcija par priekšlikumu Eiropas Parlamenta un Padomes lēmumam par Eiropas Globalizācijas pielāgošanās fonda darbu zaudējušiem darba ņēmējiem izmantošanu saistībā ar Austrijas iesniegto pieteikumu (EGF/2025/005 AT/KTM)</w:t>
      </w:r>
      <w:bookmarkEnd w:id="5"/>
      <w:r w:rsidRPr="00A45010">
        <w:t xml:space="preserve"> </w:t>
      </w:r>
      <w:bookmarkStart w:id="6" w:name="References"/>
      <w:r w:rsidRPr="00A45010">
        <w:t>(COM(2026)0010 – C10-0026/2026 – 2026/0037(BUD))</w:t>
      </w:r>
      <w:bookmarkEnd w:id="6"/>
    </w:p>
    <w:p w14:paraId="1056D09E" w14:textId="77777777" w:rsidR="00B7563D" w:rsidRPr="00A45010" w:rsidRDefault="00B7563D" w:rsidP="00B7563D">
      <w:pPr>
        <w:pStyle w:val="EPComma"/>
        <w:rPr>
          <w:noProof/>
        </w:rPr>
      </w:pPr>
      <w:r w:rsidRPr="00A45010">
        <w:rPr>
          <w:i/>
          <w:iCs/>
        </w:rPr>
        <w:t>Eiropas Parlaments</w:t>
      </w:r>
      <w:r w:rsidRPr="00A45010">
        <w:t>,</w:t>
      </w:r>
    </w:p>
    <w:p w14:paraId="6D8DF584" w14:textId="77777777" w:rsidR="00B7563D" w:rsidRPr="00A45010" w:rsidRDefault="00B7563D" w:rsidP="00B7563D">
      <w:pPr>
        <w:pStyle w:val="NormalHanging12a"/>
        <w:rPr>
          <w:noProof/>
        </w:rPr>
      </w:pPr>
      <w:r w:rsidRPr="00A45010">
        <w:t>–</w:t>
      </w:r>
      <w:r w:rsidRPr="00A45010">
        <w:tab/>
        <w:t>ņemot vērā Komisijas priekšlikumu Eiropas Parlamentam un Padomei (COM(2026)0010 – C10</w:t>
      </w:r>
      <w:r w:rsidRPr="00A45010">
        <w:noBreakHyphen/>
        <w:t>0026/2026),</w:t>
      </w:r>
    </w:p>
    <w:p w14:paraId="7A10CB07" w14:textId="77777777" w:rsidR="00B7563D" w:rsidRPr="00A45010" w:rsidRDefault="00B7563D" w:rsidP="00B7563D">
      <w:pPr>
        <w:pStyle w:val="NormalHanging12a"/>
        <w:rPr>
          <w:noProof/>
        </w:rPr>
      </w:pPr>
      <w:r w:rsidRPr="00A45010">
        <w:t>–</w:t>
      </w:r>
      <w:r w:rsidRPr="00A45010">
        <w:tab/>
        <w:t>ņemot vērā Eiropas Parlamenta un Padomes 2021. gada 28. aprīļa Regulu (ES) 2021/691 par Eiropas Globalizācijas pielāgošanās fondu darbu zaudējušiem darba ņēmējiem (EGF) un ar ko atceļ Regulu (ES) Nr. 1309/2013</w:t>
      </w:r>
      <w:r w:rsidRPr="00A45010">
        <w:rPr>
          <w:noProof/>
          <w:vertAlign w:val="superscript"/>
        </w:rPr>
        <w:footnoteReference w:id="1"/>
      </w:r>
      <w:r w:rsidRPr="00A45010">
        <w:t xml:space="preserve"> (“EGF regula”), </w:t>
      </w:r>
    </w:p>
    <w:p w14:paraId="7149B1F8" w14:textId="77777777" w:rsidR="00B7563D" w:rsidRPr="00A45010" w:rsidRDefault="00B7563D" w:rsidP="00B7563D">
      <w:pPr>
        <w:pStyle w:val="NormalHanging12a"/>
        <w:rPr>
          <w:noProof/>
        </w:rPr>
      </w:pPr>
      <w:r w:rsidRPr="00A45010">
        <w:t>–</w:t>
      </w:r>
      <w:r w:rsidRPr="00A45010">
        <w:tab/>
        <w:t xml:space="preserve">ņemot vērā Padomes 2020. gada 17. decembra Regulu (ES, </w:t>
      </w:r>
      <w:r w:rsidRPr="00A45010">
        <w:rPr>
          <w:i/>
          <w:iCs/>
        </w:rPr>
        <w:t>Euratom</w:t>
      </w:r>
      <w:r w:rsidRPr="00A45010">
        <w:t>) 2020/2093, ar ko nosaka daudzgadu finanšu shēmu 2021.–2027. gadam</w:t>
      </w:r>
      <w:r w:rsidRPr="00A45010">
        <w:rPr>
          <w:noProof/>
          <w:vertAlign w:val="superscript"/>
        </w:rPr>
        <w:footnoteReference w:id="2"/>
      </w:r>
      <w:r w:rsidRPr="00A45010">
        <w:t xml:space="preserve">, kurā izdarīti grozījumi ar Regulu (ES, </w:t>
      </w:r>
      <w:r w:rsidRPr="00A45010">
        <w:rPr>
          <w:i/>
          <w:iCs/>
        </w:rPr>
        <w:t>Euratom</w:t>
      </w:r>
      <w:r w:rsidRPr="00A45010">
        <w:t>) 2024/765</w:t>
      </w:r>
      <w:r w:rsidRPr="00A45010">
        <w:rPr>
          <w:noProof/>
          <w:vertAlign w:val="superscript"/>
        </w:rPr>
        <w:footnoteReference w:id="3"/>
      </w:r>
      <w:r w:rsidRPr="00A45010">
        <w:t xml:space="preserve"> (“DFS regula”), un jo īpaši tās 8. pantu, </w:t>
      </w:r>
    </w:p>
    <w:p w14:paraId="333D5C9F" w14:textId="77777777" w:rsidR="00B7563D" w:rsidRPr="00A45010" w:rsidRDefault="00B7563D" w:rsidP="00B7563D">
      <w:pPr>
        <w:pStyle w:val="NormalHanging12a"/>
        <w:rPr>
          <w:noProof/>
        </w:rPr>
      </w:pPr>
      <w:r w:rsidRPr="00A45010">
        <w:t>–</w:t>
      </w:r>
      <w:r w:rsidRPr="00A45010">
        <w:tab/>
        <w:t xml:space="preserve">ņemot vērā 2020. gada 16. decembra Iestāžu nolīgumu starp Eiropas Parlamentu, Eiropas Savienības Padomi un Eiropas Komisiju par budžeta disciplīnu, sadarbību budžeta jautājumos un pareizu finanšu pārvaldību, kā arī par jauniem pašu resursiem, </w:t>
      </w:r>
      <w:r w:rsidRPr="00A45010">
        <w:lastRenderedPageBreak/>
        <w:t>tostarp par ceļvedi jaunu pašu resursu ieviešanai</w:t>
      </w:r>
      <w:r w:rsidRPr="00A45010">
        <w:rPr>
          <w:noProof/>
          <w:vertAlign w:val="superscript"/>
        </w:rPr>
        <w:footnoteReference w:id="4"/>
      </w:r>
      <w:r w:rsidRPr="00A45010">
        <w:t>, un jo īpaši tā 9. punktu,</w:t>
      </w:r>
    </w:p>
    <w:p w14:paraId="54171E65" w14:textId="77777777" w:rsidR="00B7563D" w:rsidRPr="00A45010" w:rsidRDefault="00B7563D" w:rsidP="00B7563D">
      <w:pPr>
        <w:pStyle w:val="NormalHanging12a"/>
        <w:rPr>
          <w:noProof/>
        </w:rPr>
      </w:pPr>
      <w:r w:rsidRPr="00A45010">
        <w:t>–</w:t>
      </w:r>
      <w:r w:rsidRPr="00A45010">
        <w:tab/>
        <w:t>ņemot vērā Eiropas sociālo tiesību pīlāru,</w:t>
      </w:r>
    </w:p>
    <w:p w14:paraId="15F5F258" w14:textId="77777777" w:rsidR="00B7563D" w:rsidRPr="00A45010" w:rsidRDefault="00B7563D" w:rsidP="00B7563D">
      <w:pPr>
        <w:pStyle w:val="NormalHanging12a"/>
        <w:rPr>
          <w:noProof/>
        </w:rPr>
      </w:pPr>
      <w:r w:rsidRPr="00A45010">
        <w:t>–</w:t>
      </w:r>
      <w:r w:rsidRPr="00A45010">
        <w:tab/>
        <w:t>ņemot vērā Nodarbinātības un sociālo lietu komitejas atzinumu,</w:t>
      </w:r>
    </w:p>
    <w:p w14:paraId="175ED1CB" w14:textId="77777777" w:rsidR="00B7563D" w:rsidRPr="00A45010" w:rsidRDefault="00B7563D" w:rsidP="00B7563D">
      <w:pPr>
        <w:pStyle w:val="NormalHanging12a"/>
        <w:rPr>
          <w:noProof/>
        </w:rPr>
      </w:pPr>
      <w:r w:rsidRPr="00A45010">
        <w:t>–</w:t>
      </w:r>
      <w:r w:rsidRPr="00A45010">
        <w:tab/>
        <w:t>ņemot vērā Budžeta komitejas ziņojumu (A10-0060/2026),</w:t>
      </w:r>
    </w:p>
    <w:p w14:paraId="2BA31896" w14:textId="77777777" w:rsidR="00B7563D" w:rsidRPr="00A45010" w:rsidRDefault="00B7563D" w:rsidP="00B7563D">
      <w:pPr>
        <w:pStyle w:val="NormalHanging12a"/>
        <w:rPr>
          <w:noProof/>
        </w:rPr>
      </w:pPr>
      <w:r w:rsidRPr="00A45010">
        <w:t>A.</w:t>
      </w:r>
      <w:r w:rsidRPr="00A45010">
        <w:tab/>
        <w:t xml:space="preserve">tā kā Savienība ir izveidojusi likumdošanas un budžeta instrumentus, lai sniegtu papildu atbalstu darba ņēmējiem, kurus nelabvēlīgi </w:t>
      </w:r>
      <w:proofErr w:type="spellStart"/>
      <w:r w:rsidRPr="00A45010">
        <w:t>skāruši</w:t>
      </w:r>
      <w:proofErr w:type="spellEnd"/>
      <w:r w:rsidRPr="00A45010">
        <w:t xml:space="preserve"> būtiski strukturāli notikumi un pārmaiņas pasaules tirdzniecības modeļos, un lai palīdzētu viņiem no jauna iekļauties darba tirgū; tā kā šī palīdzība tiek nodrošināta, sniedzot finansiālu atbalstu darba ņēmējiem;</w:t>
      </w:r>
    </w:p>
    <w:p w14:paraId="2AF3030B" w14:textId="77777777" w:rsidR="00B7563D" w:rsidRPr="00A45010" w:rsidRDefault="00B7563D" w:rsidP="00B7563D">
      <w:pPr>
        <w:pStyle w:val="NormalHanging12a"/>
        <w:rPr>
          <w:noProof/>
        </w:rPr>
      </w:pPr>
      <w:r w:rsidRPr="00A45010">
        <w:t>B.</w:t>
      </w:r>
      <w:r w:rsidRPr="00A45010">
        <w:tab/>
        <w:t>tā kā Austrija ir iesniegusi pieteikumu EGF/2025/005 AT/</w:t>
      </w:r>
      <w:r w:rsidRPr="00A45010">
        <w:rPr>
          <w:i/>
          <w:iCs/>
        </w:rPr>
        <w:t>KTM</w:t>
      </w:r>
      <w:r w:rsidRPr="00A45010">
        <w:t>, lai saņemtu finansiālu ieguldījumu no EGF saistībā ar 1488 darba ņēmēju atlaišanu</w:t>
      </w:r>
      <w:r w:rsidRPr="00A45010">
        <w:rPr>
          <w:noProof/>
          <w:vertAlign w:val="superscript"/>
        </w:rPr>
        <w:footnoteReference w:id="5"/>
      </w:r>
      <w:r w:rsidRPr="00A45010">
        <w:t xml:space="preserve"> uzņēmumā </w:t>
      </w:r>
      <w:r w:rsidRPr="00A45010">
        <w:rPr>
          <w:i/>
          <w:iCs/>
        </w:rPr>
        <w:t xml:space="preserve">KTM </w:t>
      </w:r>
      <w:proofErr w:type="spellStart"/>
      <w:r w:rsidRPr="00A45010">
        <w:rPr>
          <w:i/>
          <w:iCs/>
        </w:rPr>
        <w:t>Gruppe</w:t>
      </w:r>
      <w:proofErr w:type="spellEnd"/>
      <w:r w:rsidRPr="00A45010">
        <w:t xml:space="preserve"> (</w:t>
      </w:r>
      <w:r w:rsidRPr="00A45010">
        <w:rPr>
          <w:i/>
          <w:iCs/>
        </w:rPr>
        <w:t>KTM</w:t>
      </w:r>
      <w:r w:rsidRPr="00A45010">
        <w:t xml:space="preserve">) saimnieciskās darbības nozarē, kas klasificēta </w:t>
      </w:r>
      <w:r w:rsidRPr="00A45010">
        <w:rPr>
          <w:i/>
          <w:iCs/>
        </w:rPr>
        <w:t>NACE</w:t>
      </w:r>
      <w:r w:rsidRPr="00A45010">
        <w:t xml:space="preserve"> 2. redakcijas 30. nodaļā (Citu transportlīdzekļu ražošana), </w:t>
      </w:r>
      <w:proofErr w:type="spellStart"/>
      <w:r w:rsidRPr="00A45010">
        <w:t>Augšaustrijas</w:t>
      </w:r>
      <w:proofErr w:type="spellEnd"/>
      <w:r w:rsidRPr="00A45010">
        <w:t xml:space="preserve"> reģionā (AT31) un tā kā pārskata periodā no 2025. gada 25. februāra līdz 2025. gada 25. jūnijam tika atlaisti 233 darba ņēmēji, turklāt 1255 darba ņēmēji tika atlaisti pirms vai pēc minētā pārskata perioda; </w:t>
      </w:r>
    </w:p>
    <w:p w14:paraId="47C87A96" w14:textId="77777777" w:rsidR="00B7563D" w:rsidRPr="00A45010" w:rsidRDefault="00B7563D" w:rsidP="00B7563D">
      <w:pPr>
        <w:pStyle w:val="NormalHanging12a"/>
        <w:rPr>
          <w:noProof/>
        </w:rPr>
      </w:pPr>
      <w:r w:rsidRPr="00A45010">
        <w:t>C.</w:t>
      </w:r>
      <w:r w:rsidRPr="00A45010">
        <w:tab/>
        <w:t xml:space="preserve">tā kā pieteikums pamatojas uz intervences kritērijiem, kas izklāstīti EGF regulas 4. panta 2. punkta a) apakšpunktā, kurā paredzēts nosacījums, ka četru mēnešu atsauces periodā darbība beigusies vismaz 200 darbu zaudējušiem darba ņēmējiem vai </w:t>
      </w:r>
      <w:proofErr w:type="spellStart"/>
      <w:r w:rsidRPr="00A45010">
        <w:t>pašnodarbinātām</w:t>
      </w:r>
      <w:proofErr w:type="spellEnd"/>
      <w:r w:rsidRPr="00A45010">
        <w:t xml:space="preserve"> personām kādā dalībvalsts uzņēmumā; tā kā pastāv skaidra cēloņsakarība starp 1255 darba ņēmēju atlaišanu pirms vai pēc četru mēnešu pārskata perioda, un notikumu, kas izraisīja minēto darba ņēmēju atlaišanu šajā pārskata periodā, kā noteikts EGF regulas 6. panta 2. punktā;</w:t>
      </w:r>
    </w:p>
    <w:p w14:paraId="7113B22B" w14:textId="77777777" w:rsidR="00B7563D" w:rsidRPr="00A45010" w:rsidRDefault="00B7563D" w:rsidP="00B7563D">
      <w:pPr>
        <w:pStyle w:val="NormalHanging12a"/>
        <w:rPr>
          <w:noProof/>
        </w:rPr>
      </w:pPr>
      <w:r w:rsidRPr="00A45010">
        <w:t>D.</w:t>
      </w:r>
      <w:r w:rsidRPr="00A45010">
        <w:tab/>
        <w:t xml:space="preserve">tā kā </w:t>
      </w:r>
      <w:r w:rsidRPr="00A45010">
        <w:rPr>
          <w:i/>
          <w:iCs/>
        </w:rPr>
        <w:t>KTM</w:t>
      </w:r>
      <w:r w:rsidRPr="00A45010">
        <w:t xml:space="preserve"> 2024. gada 29. novembrī iesniedza maksātnespējas pieteikumu un 2025. gada 25. februārī tika apstiprināts pārstrukturēšanas plāns; tā kā bažas rada daži uzņēmuma lēmumi par dividenžu sadali 2021. un 2024. gadā, ņemot vērā, ka tas Covid-19 pandēmijas laikā saņēma valsts atbalstu;</w:t>
      </w:r>
    </w:p>
    <w:p w14:paraId="1BA7081F" w14:textId="77777777" w:rsidR="00B7563D" w:rsidRPr="00A45010" w:rsidRDefault="00B7563D" w:rsidP="00B7563D">
      <w:pPr>
        <w:pStyle w:val="NormalHanging12a"/>
        <w:rPr>
          <w:noProof/>
        </w:rPr>
      </w:pPr>
      <w:r w:rsidRPr="00A45010">
        <w:t>E.</w:t>
      </w:r>
      <w:r w:rsidRPr="00A45010">
        <w:tab/>
        <w:t xml:space="preserve">tā kā Austrija norādīja, ka </w:t>
      </w:r>
      <w:proofErr w:type="spellStart"/>
      <w:r w:rsidRPr="00A45010">
        <w:t>Augšaustrijas</w:t>
      </w:r>
      <w:proofErr w:type="spellEnd"/>
      <w:r w:rsidRPr="00A45010">
        <w:t xml:space="preserve"> Valsts nodarbinātības dienests un </w:t>
      </w:r>
      <w:proofErr w:type="spellStart"/>
      <w:r w:rsidRPr="00A45010">
        <w:t>Augšaustrijas</w:t>
      </w:r>
      <w:proofErr w:type="spellEnd"/>
      <w:r w:rsidRPr="00A45010">
        <w:t xml:space="preserve"> federālā zeme nodrošina valsts </w:t>
      </w:r>
      <w:proofErr w:type="spellStart"/>
      <w:r w:rsidRPr="00A45010">
        <w:t>priekšfinansējumu</w:t>
      </w:r>
      <w:proofErr w:type="spellEnd"/>
      <w:r w:rsidRPr="00A45010">
        <w:t xml:space="preserve"> un līdzfinansējumu paredzētajiem pasākumiem;</w:t>
      </w:r>
    </w:p>
    <w:p w14:paraId="71EF4156" w14:textId="77777777" w:rsidR="00B7563D" w:rsidRPr="00A45010" w:rsidRDefault="00B7563D" w:rsidP="00B7563D">
      <w:pPr>
        <w:pStyle w:val="NormalHanging12a"/>
        <w:rPr>
          <w:noProof/>
        </w:rPr>
      </w:pPr>
      <w:r w:rsidRPr="00A45010">
        <w:t>F.</w:t>
      </w:r>
      <w:r w:rsidRPr="00A45010">
        <w:tab/>
        <w:t>tā kā ir ievērotas Savienības un valsts tiesību aktos paredzētās prasības attiecībā uz kolektīvo atlaišanu;</w:t>
      </w:r>
    </w:p>
    <w:p w14:paraId="02AA634D" w14:textId="77777777" w:rsidR="00B7563D" w:rsidRPr="00A45010" w:rsidRDefault="00B7563D" w:rsidP="00B7563D">
      <w:pPr>
        <w:pStyle w:val="NormalHanging12a"/>
        <w:rPr>
          <w:noProof/>
        </w:rPr>
      </w:pPr>
      <w:r w:rsidRPr="00A45010">
        <w:t>G.</w:t>
      </w:r>
      <w:r w:rsidRPr="00A45010">
        <w:tab/>
        <w:t>norāda, ka EGF finanšu iemaksām galvenokārt vajadzētu būt vērstām uz aktīviem darba tirgus pasākumiem un individualizētiem pakalpojumiem, kuru mērķis ir panākt, lai atbalsta saņēmēji pēc iespējas ātrāk atgrieztos darba tirgū, vienlaikus piedāvājot viņiem prasmju pilnveides apmācību, kas atvieglotu viņu atbilsmi turpmākajām darba tirgus vajadzībām un sagatavotu viņus zaļās un digitālās pārkārtošanās procesam;</w:t>
      </w:r>
    </w:p>
    <w:p w14:paraId="5DB0398B" w14:textId="77777777" w:rsidR="00B7563D" w:rsidRPr="00A45010" w:rsidRDefault="00B7563D" w:rsidP="00B7563D">
      <w:pPr>
        <w:pStyle w:val="NormalHanging12a"/>
        <w:rPr>
          <w:noProof/>
        </w:rPr>
      </w:pPr>
      <w:r w:rsidRPr="00A45010">
        <w:lastRenderedPageBreak/>
        <w:t>H.</w:t>
      </w:r>
      <w:r w:rsidRPr="00A45010">
        <w:tab/>
        <w:t>tā kā EGF ikgadējais apjoms nedrīkst pārsniegt 30 miljonus EUR (2018. gada cenās)</w:t>
      </w:r>
      <w:r w:rsidRPr="00A45010">
        <w:rPr>
          <w:noProof/>
          <w:vertAlign w:val="superscript"/>
        </w:rPr>
        <w:footnoteReference w:id="6"/>
      </w:r>
      <w:r w:rsidRPr="00A45010">
        <w:t>,</w:t>
      </w:r>
    </w:p>
    <w:p w14:paraId="4C9C68A8" w14:textId="77777777" w:rsidR="00B7563D" w:rsidRPr="00A45010" w:rsidRDefault="00B7563D" w:rsidP="00B7563D">
      <w:pPr>
        <w:pStyle w:val="NormalHanging12a"/>
        <w:rPr>
          <w:bCs/>
          <w:iCs/>
          <w:noProof/>
        </w:rPr>
      </w:pPr>
      <w:r w:rsidRPr="00A45010">
        <w:t>I.</w:t>
      </w:r>
      <w:r w:rsidRPr="00A45010">
        <w:tab/>
        <w:t>tā kā nesenā ražošanas darbību pārvietošana ārpus Savienības liecina par nepieciešamību stiprināt Eiropas rūpniecības konkurētspēju un noturību pasaules tirgū,</w:t>
      </w:r>
    </w:p>
    <w:p w14:paraId="2767D9BD" w14:textId="77777777" w:rsidR="00B7563D" w:rsidRPr="00A45010" w:rsidRDefault="00B7563D" w:rsidP="00B7563D">
      <w:pPr>
        <w:pStyle w:val="NormalHanging12a"/>
        <w:rPr>
          <w:noProof/>
        </w:rPr>
      </w:pPr>
      <w:r w:rsidRPr="00A45010">
        <w:t>1.</w:t>
      </w:r>
      <w:r w:rsidRPr="00A45010">
        <w:tab/>
        <w:t>piekrīt Komisijai, ka EGF regulā un jo īpaši tās 4. panta 2. punkta a) apakšpunktā noteiktie nosacījumi ir izpildīti un ka Austrija saskaņā ar minēto regulu ir tiesīga saņemt 1 806 624 EUR lielu finansiālu ieguldījumu, kas atbilst 60 % no kopējām izmaksām 3 011 040 EUR apmērā, tajās ietverot 2 895 120 EUR izdevumus attiecībā uz individualizētiem pakalpojumiem un 115 920 EUR izdevumus attiecībā sagatavošanās, pārvaldības, informācijas sniegšanas un publicitātes, kontroles un ziņošanas darbībām;</w:t>
      </w:r>
    </w:p>
    <w:p w14:paraId="5618DFEE" w14:textId="77777777" w:rsidR="00B7563D" w:rsidRPr="00A45010" w:rsidRDefault="00B7563D" w:rsidP="00B7563D">
      <w:pPr>
        <w:pStyle w:val="NormalHanging12a"/>
        <w:rPr>
          <w:noProof/>
        </w:rPr>
      </w:pPr>
      <w:r w:rsidRPr="00A45010">
        <w:t>2.</w:t>
      </w:r>
      <w:r w:rsidRPr="00A45010">
        <w:tab/>
        <w:t>norāda, ka Austrijas iestādes pieteikumu iesniedza 2025. gada 15. septembrī un pēc tam, kad Austrija bija sniegusi papildu informāciju, Komisija pieteikuma novērtēšanu pabeidza 2026. gada 6. februārī un 2026. gada 11. februārī par to paziņoja Parlamentam; uzsver, ka ir svarīgi saīsināt laiku starp EGF atbalsta pieteikuma iesniegšanu un finansēšanas lēmuma pieņemšanu, vienlaikus pilnībā aizsargājot Eiropas Parlamenta kā vienas no budžeta lēmējinstitūcijas iestādēm tiesības;</w:t>
      </w:r>
    </w:p>
    <w:p w14:paraId="1353971D" w14:textId="77777777" w:rsidR="00B7563D" w:rsidRPr="00A45010" w:rsidRDefault="00B7563D" w:rsidP="00B7563D">
      <w:pPr>
        <w:pStyle w:val="NormalHanging12a"/>
        <w:rPr>
          <w:noProof/>
        </w:rPr>
      </w:pPr>
      <w:r w:rsidRPr="00A45010">
        <w:t>3.</w:t>
      </w:r>
      <w:r w:rsidRPr="00A45010">
        <w:tab/>
        <w:t xml:space="preserve">norāda, ka pieteikums attiecas uz 1488 darba ņēmējiem, kurus skāra </w:t>
      </w:r>
      <w:r w:rsidRPr="00A45010">
        <w:rPr>
          <w:i/>
          <w:iCs/>
        </w:rPr>
        <w:t>KTM</w:t>
      </w:r>
      <w:r w:rsidRPr="00A45010">
        <w:t xml:space="preserve"> maksātnespējas procedūra, kas ir līdz šim lielākā maksātnespējas procedūra </w:t>
      </w:r>
      <w:proofErr w:type="spellStart"/>
      <w:r w:rsidRPr="00A45010">
        <w:t>Augšaustrijas</w:t>
      </w:r>
      <w:proofErr w:type="spellEnd"/>
      <w:r w:rsidRPr="00A45010">
        <w:t xml:space="preserve"> reģionā; turklāt norāda, ka atbalsts un gaidāmā dalība pasākumos ir paredzēta kopumā 420 darbu zaudējušiem darba ņēmējiem;</w:t>
      </w:r>
    </w:p>
    <w:p w14:paraId="08D8EB5C" w14:textId="77777777" w:rsidR="00B7563D" w:rsidRPr="00A45010" w:rsidRDefault="00B7563D" w:rsidP="00B7563D">
      <w:pPr>
        <w:pStyle w:val="NormalHanging12a"/>
        <w:rPr>
          <w:noProof/>
        </w:rPr>
      </w:pPr>
      <w:r w:rsidRPr="00A45010">
        <w:t>4.</w:t>
      </w:r>
      <w:r w:rsidRPr="00A45010">
        <w:tab/>
        <w:t xml:space="preserve">norāda, ka </w:t>
      </w:r>
      <w:r w:rsidRPr="00A45010">
        <w:rPr>
          <w:i/>
          <w:iCs/>
        </w:rPr>
        <w:t>KTM</w:t>
      </w:r>
      <w:r w:rsidRPr="00A45010">
        <w:t xml:space="preserve"> bija lielākais motociklu ražotājs Savienībā un lielākais </w:t>
      </w:r>
      <w:proofErr w:type="spellStart"/>
      <w:r w:rsidRPr="00A45010">
        <w:rPr>
          <w:i/>
          <w:iCs/>
        </w:rPr>
        <w:t>Pierer</w:t>
      </w:r>
      <w:proofErr w:type="spellEnd"/>
      <w:r w:rsidRPr="00A45010">
        <w:rPr>
          <w:i/>
          <w:iCs/>
        </w:rPr>
        <w:t xml:space="preserve"> </w:t>
      </w:r>
      <w:proofErr w:type="spellStart"/>
      <w:r w:rsidRPr="00A45010">
        <w:rPr>
          <w:i/>
          <w:iCs/>
        </w:rPr>
        <w:t>Mobility</w:t>
      </w:r>
      <w:proofErr w:type="spellEnd"/>
      <w:r w:rsidRPr="00A45010">
        <w:rPr>
          <w:i/>
          <w:iCs/>
        </w:rPr>
        <w:t xml:space="preserve"> AG</w:t>
      </w:r>
      <w:r w:rsidRPr="00A45010">
        <w:t xml:space="preserve"> meitasuzņēmums; pauž nožēlu par to, ka </w:t>
      </w:r>
      <w:proofErr w:type="spellStart"/>
      <w:r w:rsidRPr="00A45010">
        <w:t>mātesuzņēmums</w:t>
      </w:r>
      <w:proofErr w:type="spellEnd"/>
      <w:r w:rsidRPr="00A45010">
        <w:t xml:space="preserve"> 2023. gada decembrī nolēma pārcelt ražošanu uz Ķīnu un Indiju negodīgas konkurences apstākļu dēļ; norāda, ka tā rezultātā sākotnēji tika likvidētas 300 darbvietas un pēc tam pārdošanas zaudējumu dēļ </w:t>
      </w:r>
      <w:r w:rsidRPr="00A45010">
        <w:rPr>
          <w:i/>
          <w:iCs/>
        </w:rPr>
        <w:t>KTM</w:t>
      </w:r>
      <w:r w:rsidRPr="00A45010">
        <w:t xml:space="preserve"> samazināja izmaksas, tostarp 2024. gadā atlaižot vairāk nekā 500 darbinieku;</w:t>
      </w:r>
    </w:p>
    <w:p w14:paraId="04C9E844" w14:textId="77777777" w:rsidR="00B7563D" w:rsidRPr="00A45010" w:rsidRDefault="00B7563D" w:rsidP="00B7563D">
      <w:pPr>
        <w:pStyle w:val="NormalHanging12a"/>
        <w:rPr>
          <w:noProof/>
        </w:rPr>
      </w:pPr>
      <w:r w:rsidRPr="00A45010">
        <w:t>5.</w:t>
      </w:r>
      <w:r w:rsidRPr="00A45010">
        <w:tab/>
        <w:t xml:space="preserve">norāda, ka </w:t>
      </w:r>
      <w:proofErr w:type="spellStart"/>
      <w:r w:rsidRPr="00A45010">
        <w:t>mātesuzņēmumam</w:t>
      </w:r>
      <w:proofErr w:type="spellEnd"/>
      <w:r w:rsidRPr="00A45010">
        <w:t xml:space="preserve"> bija jāsāk pārstrukturēšanas process un ka </w:t>
      </w:r>
      <w:r w:rsidRPr="00A45010">
        <w:rPr>
          <w:i/>
          <w:iCs/>
        </w:rPr>
        <w:t>KTM</w:t>
      </w:r>
      <w:r w:rsidRPr="00A45010">
        <w:t xml:space="preserve"> pirmās ražošanas apturēšanas laikā 2025. gadā tika vēl atlaisti vairāk nekā 750 darbinieki; norāda, ka investors </w:t>
      </w:r>
      <w:proofErr w:type="spellStart"/>
      <w:r w:rsidRPr="00A45010">
        <w:rPr>
          <w:i/>
          <w:iCs/>
        </w:rPr>
        <w:t>Bajaj</w:t>
      </w:r>
      <w:proofErr w:type="spellEnd"/>
      <w:r w:rsidRPr="00A45010">
        <w:rPr>
          <w:i/>
          <w:iCs/>
        </w:rPr>
        <w:t xml:space="preserve"> Auto </w:t>
      </w:r>
      <w:proofErr w:type="spellStart"/>
      <w:r w:rsidRPr="00A45010">
        <w:rPr>
          <w:i/>
          <w:iCs/>
        </w:rPr>
        <w:t>International</w:t>
      </w:r>
      <w:proofErr w:type="spellEnd"/>
      <w:r w:rsidRPr="00A45010">
        <w:rPr>
          <w:i/>
          <w:iCs/>
        </w:rPr>
        <w:t xml:space="preserve"> Holdings B.V.</w:t>
      </w:r>
      <w:r w:rsidRPr="00A45010">
        <w:t xml:space="preserve"> 2025. gada 22. maijā piešķīra vajadzīgos resursus, lai nodrošinātu </w:t>
      </w:r>
      <w:r w:rsidRPr="00A45010">
        <w:rPr>
          <w:i/>
          <w:iCs/>
        </w:rPr>
        <w:t>KTM</w:t>
      </w:r>
      <w:r w:rsidRPr="00A45010">
        <w:t xml:space="preserve"> darbības turpināšanu, izvairoties no </w:t>
      </w:r>
      <w:r w:rsidRPr="00A45010">
        <w:rPr>
          <w:i/>
          <w:iCs/>
        </w:rPr>
        <w:t>KTM</w:t>
      </w:r>
      <w:r w:rsidRPr="00A45010">
        <w:t xml:space="preserve"> bankrota un ļaujot atsākt ražošanu 2025. gada jūlijā, vienlaikus ierobežojot izdevumus;</w:t>
      </w:r>
    </w:p>
    <w:p w14:paraId="50E022E3" w14:textId="77777777" w:rsidR="00B7563D" w:rsidRPr="00A45010" w:rsidRDefault="00B7563D" w:rsidP="00B7563D">
      <w:pPr>
        <w:pStyle w:val="NormalHanging12a"/>
        <w:rPr>
          <w:noProof/>
        </w:rPr>
      </w:pPr>
      <w:r w:rsidRPr="00A45010">
        <w:t>6.</w:t>
      </w:r>
      <w:r w:rsidRPr="00A45010">
        <w:tab/>
        <w:t xml:space="preserve">norāda, ka </w:t>
      </w:r>
      <w:r w:rsidRPr="00A45010">
        <w:rPr>
          <w:i/>
          <w:iCs/>
        </w:rPr>
        <w:t>KTM</w:t>
      </w:r>
      <w:r w:rsidRPr="00A45010">
        <w:t xml:space="preserve"> reiz bija viens no veiksmīgākajiem motociklu zīmoliem Eiropā, nozīmīgs darba devējs un būtisks ekonomikas pīlārs daudziem piegādātājiem </w:t>
      </w:r>
      <w:proofErr w:type="spellStart"/>
      <w:r w:rsidRPr="00A45010">
        <w:t>Augšaustrijas</w:t>
      </w:r>
      <w:proofErr w:type="spellEnd"/>
      <w:r w:rsidRPr="00A45010">
        <w:t xml:space="preserve"> </w:t>
      </w:r>
      <w:proofErr w:type="spellStart"/>
      <w:r w:rsidRPr="00A45010">
        <w:t>Braunavas</w:t>
      </w:r>
      <w:proofErr w:type="spellEnd"/>
      <w:r w:rsidRPr="00A45010">
        <w:t xml:space="preserve"> rajonā; norāda, ka līdz ar to šajā rajonā bezdarbs 2024. gada novembrī palielinājās par 37,1 % salīdzinājumā ar to pašu mēnesi iepriekšējā gadā; norāda, ka </w:t>
      </w:r>
      <w:proofErr w:type="spellStart"/>
      <w:r w:rsidRPr="00A45010">
        <w:t>Braunavas</w:t>
      </w:r>
      <w:proofErr w:type="spellEnd"/>
      <w:r w:rsidRPr="00A45010">
        <w:t xml:space="preserve"> rajonā 2025. gadā bezdarbs sasniedza visu laiku augstāko līmeni; </w:t>
      </w:r>
    </w:p>
    <w:p w14:paraId="41A7426B" w14:textId="77777777" w:rsidR="00B7563D" w:rsidRPr="00A45010" w:rsidRDefault="00B7563D" w:rsidP="00B7563D">
      <w:pPr>
        <w:pStyle w:val="NormalHanging12a"/>
        <w:rPr>
          <w:noProof/>
        </w:rPr>
      </w:pPr>
      <w:r w:rsidRPr="00A45010">
        <w:t>7.</w:t>
      </w:r>
      <w:r w:rsidRPr="00A45010">
        <w:tab/>
        <w:t xml:space="preserve">atgādina, ka saskaņā ar vienošanos ar sociālajiem partneriem individualizētie pakalpojumi, kas sniedzami darba ņēmējiem, ietver šādus pasākumus: lietas pārvaldība; konsultēšana profesionālās attīstības jomā un profesionālā orientācija; apmācība un </w:t>
      </w:r>
      <w:proofErr w:type="spellStart"/>
      <w:r w:rsidRPr="00A45010">
        <w:t>pārkvalifikācija</w:t>
      </w:r>
      <w:proofErr w:type="spellEnd"/>
      <w:r w:rsidRPr="00A45010">
        <w:t xml:space="preserve">; </w:t>
      </w:r>
      <w:proofErr w:type="spellStart"/>
      <w:r w:rsidRPr="00A45010">
        <w:t>proaktīva</w:t>
      </w:r>
      <w:proofErr w:type="spellEnd"/>
      <w:r w:rsidRPr="00A45010">
        <w:t xml:space="preserve"> darba meklēšana; apmācības pabalsts: uzsver, ka ir svarīgi veicināt kvalitatīvu un uz nākotni vērstu darbvietu izveidi, lai nodrošinātu ilgtermiņa ekonomisko un sociālo noturību; uzsver, cik svarīga ir cieša sadarbība ar reģionālajiem </w:t>
      </w:r>
      <w:r w:rsidRPr="00A45010">
        <w:lastRenderedPageBreak/>
        <w:t xml:space="preserve">uzņēmumiem un darba devējiem, lai nodrošinātu, ka apmācības un </w:t>
      </w:r>
      <w:proofErr w:type="spellStart"/>
      <w:r w:rsidRPr="00A45010">
        <w:t>pārkvalifikācijas</w:t>
      </w:r>
      <w:proofErr w:type="spellEnd"/>
      <w:r w:rsidRPr="00A45010">
        <w:t xml:space="preserve"> programmas atbilst konkrētām darba tirgus vajadzībām un veicina darbu zaudējušo darba ņēmēju ātru reintegrāciju;</w:t>
      </w:r>
    </w:p>
    <w:p w14:paraId="48ABE88C" w14:textId="77777777" w:rsidR="00B7563D" w:rsidRPr="00A45010" w:rsidRDefault="00B7563D" w:rsidP="00B7563D">
      <w:pPr>
        <w:pStyle w:val="NormalHanging12a"/>
        <w:rPr>
          <w:bCs/>
          <w:iCs/>
          <w:noProof/>
        </w:rPr>
      </w:pPr>
      <w:r w:rsidRPr="00A45010">
        <w:t>8.</w:t>
      </w:r>
      <w:r w:rsidRPr="00A45010">
        <w:tab/>
        <w:t xml:space="preserve">atgādina, ka EGF ir solidaritātes un taisnīgas pārkārtošanās instruments un, lai gan tas sniedz atbalstu pēc darbvietu zaudēšanas, tas nevar aizstāt </w:t>
      </w:r>
      <w:proofErr w:type="spellStart"/>
      <w:r w:rsidRPr="00A45010">
        <w:t>proaktīvu</w:t>
      </w:r>
      <w:proofErr w:type="spellEnd"/>
      <w:r w:rsidRPr="00A45010">
        <w:t xml:space="preserve"> rūpniecības politiku; uzsver, ka Savienības galvenajam uzdevumam ir jābūt šādu slēgšanas gadījumu novēršanai, radot apstākļus tam, lai varētu saglabāt rūpnieciskās ražošanas konkurētspēju, vienlaikus investējot gan augsti kvalificētu darba ņēmēju, gan rūpniecības darbinieku prasmēs; uzsver, ka ir jāsniedz šiem zema izglītības līmeņa darba ņēmēju profiliem pielāgots īpašs atbalsts, vienlaikus veicot pasākumus nolūkā samazināt bankrota gadījumu skaitu un novērst sociālās atšķirības, kas noved pie izslēgšanas no darba tirgus;</w:t>
      </w:r>
    </w:p>
    <w:p w14:paraId="06052F5C" w14:textId="77777777" w:rsidR="00B7563D" w:rsidRPr="00A45010" w:rsidRDefault="00B7563D" w:rsidP="00B7563D">
      <w:pPr>
        <w:pStyle w:val="NormalHanging12a"/>
        <w:rPr>
          <w:bCs/>
          <w:iCs/>
          <w:noProof/>
        </w:rPr>
      </w:pPr>
      <w:r w:rsidRPr="00A45010">
        <w:t>9.</w:t>
      </w:r>
      <w:r w:rsidRPr="00A45010">
        <w:tab/>
        <w:t xml:space="preserve">uzsver, ka Austrijas iestādēm ir jānodrošina Savienības finansējuma </w:t>
      </w:r>
      <w:proofErr w:type="spellStart"/>
      <w:r w:rsidRPr="00A45010">
        <w:t>pamanāmība</w:t>
      </w:r>
      <w:proofErr w:type="spellEnd"/>
      <w:r w:rsidRPr="00A45010">
        <w:t xml:space="preserve"> un jāuzsver tā pievienotā vērtība, sniedzot efektīvu un </w:t>
      </w:r>
      <w:proofErr w:type="spellStart"/>
      <w:r w:rsidRPr="00A45010">
        <w:t>mērķorientētu</w:t>
      </w:r>
      <w:proofErr w:type="spellEnd"/>
      <w:r w:rsidRPr="00A45010">
        <w:t xml:space="preserve"> informāciju labuma guvējiem, reģionālajām un vietējām iestādēm, sociālajiem partneriem un plašākai sabiedrībai;</w:t>
      </w:r>
    </w:p>
    <w:p w14:paraId="0FF69080" w14:textId="77777777" w:rsidR="00B7563D" w:rsidRPr="00A45010" w:rsidRDefault="00B7563D" w:rsidP="00B7563D">
      <w:pPr>
        <w:pStyle w:val="NormalHanging12a"/>
        <w:rPr>
          <w:noProof/>
        </w:rPr>
      </w:pPr>
      <w:r w:rsidRPr="00A45010">
        <w:t>10.</w:t>
      </w:r>
      <w:r w:rsidRPr="00A45010">
        <w:tab/>
        <w:t>aicina veikt rūpīgus īstenoto pasākumu galīgos novērtējumus, tostarp sniegt skaidru informāciju par to, kā līdzekļi ir izlietoti un vai tas ir darīts saskaņā ar apstiprinātajiem plāniem;</w:t>
      </w:r>
    </w:p>
    <w:p w14:paraId="01123B32" w14:textId="77777777" w:rsidR="00B7563D" w:rsidRPr="00A45010" w:rsidRDefault="00B7563D" w:rsidP="00B7563D">
      <w:pPr>
        <w:pStyle w:val="NormalHanging12a"/>
        <w:rPr>
          <w:noProof/>
        </w:rPr>
      </w:pPr>
      <w:r w:rsidRPr="00A45010">
        <w:t>11.</w:t>
      </w:r>
      <w:r w:rsidRPr="00A45010">
        <w:tab/>
        <w:t>pieņem zināšanai to, ka 2025. gada 1. martā Austrija sāka sniegt individualizētus pakalpojumus paredzētajiem atbalsta saņēmējiem un administratīvie izdevumi saistībā ar EGF īstenošanu tai sāka rasties šajā datumā un ka tāpēc tiesības saņemt finansiālu ieguldījumu no EGF būs attiecīgi laikposmā, kas sākas minētajā datumā un beidzas 24 mēnešus vēlāk un 31 mēnesi pēc finansēšanas lēmuma spēkā stāšanās dienas;</w:t>
      </w:r>
    </w:p>
    <w:p w14:paraId="3375A596" w14:textId="77777777" w:rsidR="00B7563D" w:rsidRPr="00A45010" w:rsidRDefault="00B7563D" w:rsidP="00B7563D">
      <w:pPr>
        <w:pStyle w:val="NormalHanging12a"/>
        <w:rPr>
          <w:noProof/>
        </w:rPr>
      </w:pPr>
      <w:r w:rsidRPr="00A45010">
        <w:t>12.</w:t>
      </w:r>
      <w:r w:rsidRPr="00A45010">
        <w:tab/>
        <w:t xml:space="preserve">pieņem zināšanai, ka Austrijas iestādes ir sniegušas apstiprinājumu tam, ka, īstenojot ierosinātās darbības, tiks ievēroti vienlīdzīgas attieksmes un </w:t>
      </w:r>
      <w:proofErr w:type="spellStart"/>
      <w:r w:rsidRPr="00A45010">
        <w:t>nediskriminācijas</w:t>
      </w:r>
      <w:proofErr w:type="spellEnd"/>
      <w:r w:rsidRPr="00A45010">
        <w:t xml:space="preserve"> principi un novērsta jebkāda dubulta finansēšana;</w:t>
      </w:r>
    </w:p>
    <w:p w14:paraId="435E3CB7" w14:textId="77777777" w:rsidR="00B7563D" w:rsidRPr="00A45010" w:rsidRDefault="00B7563D" w:rsidP="00B7563D">
      <w:pPr>
        <w:pStyle w:val="NormalHanging12a"/>
        <w:rPr>
          <w:noProof/>
        </w:rPr>
      </w:pPr>
      <w:r w:rsidRPr="00A45010">
        <w:t>13.</w:t>
      </w:r>
      <w:r w:rsidRPr="00A45010">
        <w:tab/>
        <w:t>atkārtoti norāda, ka palīdzība no EGF nedrīkst aizstāt darbības, par kurām saskaņā ar attiecīgās valsts tiesību aktiem vai koplīgumiem ir atbildīgi uzņēmumi;</w:t>
      </w:r>
    </w:p>
    <w:p w14:paraId="114C19EE" w14:textId="77777777" w:rsidR="00B7563D" w:rsidRPr="00A45010" w:rsidRDefault="00B7563D" w:rsidP="00B7563D">
      <w:pPr>
        <w:pStyle w:val="NormalHanging12a"/>
        <w:rPr>
          <w:noProof/>
        </w:rPr>
      </w:pPr>
      <w:r w:rsidRPr="00A45010">
        <w:t>14.</w:t>
      </w:r>
      <w:r w:rsidRPr="00A45010">
        <w:tab/>
        <w:t>apstiprina šai rezolūcijai pievienoto lēmumu;</w:t>
      </w:r>
    </w:p>
    <w:p w14:paraId="2F8B6860" w14:textId="77777777" w:rsidR="00B7563D" w:rsidRPr="00A45010" w:rsidRDefault="00B7563D" w:rsidP="00B7563D">
      <w:pPr>
        <w:pStyle w:val="NormalHanging12a"/>
        <w:rPr>
          <w:noProof/>
        </w:rPr>
      </w:pPr>
      <w:r w:rsidRPr="00A45010">
        <w:t>15.</w:t>
      </w:r>
      <w:r w:rsidRPr="00A45010">
        <w:tab/>
        <w:t xml:space="preserve">uzdod priekšsēdētājam parakstīt šo lēmumu kopā ar Padomes priekšsēdētāju un nodrošināt tā publicēšanu </w:t>
      </w:r>
      <w:r w:rsidRPr="00A45010">
        <w:rPr>
          <w:i/>
          <w:iCs/>
        </w:rPr>
        <w:t>Eiropas Savienības Oficiālajā Vēstnesī</w:t>
      </w:r>
      <w:r w:rsidRPr="00A45010">
        <w:t>;</w:t>
      </w:r>
    </w:p>
    <w:p w14:paraId="122FE519" w14:textId="77777777" w:rsidR="00B7563D" w:rsidRPr="00A45010" w:rsidRDefault="00B7563D" w:rsidP="00B7563D">
      <w:pPr>
        <w:pStyle w:val="NormalHanging12a"/>
        <w:rPr>
          <w:noProof/>
        </w:rPr>
      </w:pPr>
      <w:r w:rsidRPr="00A45010">
        <w:t>16.</w:t>
      </w:r>
      <w:r w:rsidRPr="00A45010">
        <w:tab/>
        <w:t>uzdod priekšsēdētājai šo rezolūciju, kā arī tās pielikumu nosūtīt Padomei un Komisijai.</w:t>
      </w:r>
    </w:p>
    <w:p w14:paraId="5274A8BA" w14:textId="77777777" w:rsidR="00B7563D" w:rsidRPr="00A45010" w:rsidRDefault="00B7563D" w:rsidP="00B7563D">
      <w:pPr>
        <w:rPr>
          <w:noProof/>
        </w:rPr>
      </w:pPr>
    </w:p>
    <w:p w14:paraId="6079CDB2" w14:textId="77777777" w:rsidR="00B7563D" w:rsidRPr="00A45010" w:rsidRDefault="00B7563D" w:rsidP="00B7563D">
      <w:pPr>
        <w:pStyle w:val="PageHeading"/>
        <w:rPr>
          <w:noProof/>
        </w:rPr>
        <w:sectPr w:rsidR="00B7563D" w:rsidRPr="00A45010" w:rsidSect="0087361C">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FE05D70" w14:textId="77777777" w:rsidR="00AF712F" w:rsidRDefault="00B7563D" w:rsidP="00B7563D">
      <w:pPr>
        <w:pStyle w:val="PageHeading"/>
      </w:pPr>
      <w:bookmarkStart w:id="7" w:name="_Toc224811129"/>
      <w:r w:rsidRPr="00A45010">
        <w:lastRenderedPageBreak/>
        <w:t>PIELIKUMS</w:t>
      </w:r>
    </w:p>
    <w:p w14:paraId="3BD5159C" w14:textId="1E1FAA98" w:rsidR="00B7563D" w:rsidRPr="00A45010" w:rsidRDefault="00B7563D" w:rsidP="00B7563D">
      <w:pPr>
        <w:pStyle w:val="PageHeading"/>
        <w:rPr>
          <w:noProof/>
        </w:rPr>
      </w:pPr>
      <w:r w:rsidRPr="00A45010">
        <w:t>EIROPAS PARLAMENTA UN PADOMES LĒMUMS</w:t>
      </w:r>
      <w:bookmarkEnd w:id="7"/>
    </w:p>
    <w:p w14:paraId="78AAC361" w14:textId="041422CB" w:rsidR="00B7563D" w:rsidRDefault="00B7563D" w:rsidP="00B7563D">
      <w:pPr>
        <w:pStyle w:val="NormalHanging12a"/>
        <w:rPr>
          <w:b/>
        </w:rPr>
      </w:pPr>
      <w:bookmarkStart w:id="8" w:name="_Hlk212804276"/>
      <w:bookmarkStart w:id="9" w:name="_Hlk212804598"/>
      <w:r w:rsidRPr="00A45010">
        <w:rPr>
          <w:b/>
        </w:rPr>
        <w:t xml:space="preserve">par </w:t>
      </w:r>
      <w:r w:rsidR="00AF712F" w:rsidRPr="00AF712F">
        <w:rPr>
          <w:b/>
        </w:rPr>
        <w:t>Eiropas Globalizācijas pielāgošanās fonda darbu zaudējušiem darba ņēmējiem izmantošanu saistībā ar Austrijas iesniegto pieteikumu (EGF/2025/005 AT/</w:t>
      </w:r>
      <w:r w:rsidR="00AF712F" w:rsidRPr="00AF712F">
        <w:rPr>
          <w:b/>
          <w:i/>
          <w:iCs/>
        </w:rPr>
        <w:t>KTM</w:t>
      </w:r>
      <w:r w:rsidR="00AF712F" w:rsidRPr="00AF712F">
        <w:rPr>
          <w:b/>
        </w:rPr>
        <w:t>)</w:t>
      </w:r>
    </w:p>
    <w:p w14:paraId="16DFC9CD" w14:textId="759F39DA" w:rsidR="00AF712F" w:rsidRDefault="00AF712F" w:rsidP="00AF712F">
      <w:pPr>
        <w:pStyle w:val="Normal24Bold"/>
        <w:rPr>
          <w:b w:val="0"/>
          <w:i/>
          <w:iCs/>
          <w:noProof/>
        </w:rPr>
      </w:pPr>
      <w:r w:rsidRPr="00EB02AD">
        <w:rPr>
          <w:b w:val="0"/>
          <w:i/>
          <w:iCs/>
          <w:noProof/>
        </w:rPr>
        <w:t>(Šā</w:t>
      </w:r>
      <w:r>
        <w:rPr>
          <w:b w:val="0"/>
          <w:i/>
          <w:iCs/>
          <w:noProof/>
        </w:rPr>
        <w:t xml:space="preserve"> </w:t>
      </w:r>
      <w:r w:rsidRPr="00EB02AD">
        <w:rPr>
          <w:b w:val="0"/>
          <w:i/>
          <w:iCs/>
          <w:noProof/>
        </w:rPr>
        <w:t>pielikuma</w:t>
      </w:r>
      <w:r>
        <w:rPr>
          <w:b w:val="0"/>
          <w:i/>
          <w:iCs/>
          <w:noProof/>
        </w:rPr>
        <w:t xml:space="preserve"> </w:t>
      </w:r>
      <w:r w:rsidRPr="00EB02AD">
        <w:rPr>
          <w:b w:val="0"/>
          <w:i/>
          <w:iCs/>
          <w:noProof/>
        </w:rPr>
        <w:t>teksts</w:t>
      </w:r>
      <w:r>
        <w:rPr>
          <w:b w:val="0"/>
          <w:i/>
          <w:iCs/>
          <w:noProof/>
        </w:rPr>
        <w:t xml:space="preserve"> </w:t>
      </w:r>
      <w:r w:rsidRPr="00EB02AD">
        <w:rPr>
          <w:b w:val="0"/>
          <w:i/>
          <w:iCs/>
          <w:noProof/>
        </w:rPr>
        <w:t>šeit</w:t>
      </w:r>
      <w:r>
        <w:rPr>
          <w:b w:val="0"/>
          <w:i/>
          <w:iCs/>
          <w:noProof/>
        </w:rPr>
        <w:t xml:space="preserve"> </w:t>
      </w:r>
      <w:r w:rsidRPr="00EB02AD">
        <w:rPr>
          <w:b w:val="0"/>
          <w:i/>
          <w:iCs/>
          <w:noProof/>
        </w:rPr>
        <w:t>nav</w:t>
      </w:r>
      <w:r>
        <w:rPr>
          <w:b w:val="0"/>
          <w:i/>
          <w:iCs/>
          <w:noProof/>
        </w:rPr>
        <w:t xml:space="preserve"> </w:t>
      </w:r>
      <w:r w:rsidRPr="00EB02AD">
        <w:rPr>
          <w:b w:val="0"/>
          <w:i/>
          <w:iCs/>
          <w:noProof/>
        </w:rPr>
        <w:t>iekļauts,</w:t>
      </w:r>
      <w:r>
        <w:rPr>
          <w:b w:val="0"/>
          <w:i/>
          <w:iCs/>
          <w:noProof/>
        </w:rPr>
        <w:t xml:space="preserve"> </w:t>
      </w:r>
      <w:r w:rsidRPr="00EB02AD">
        <w:rPr>
          <w:b w:val="0"/>
          <w:i/>
          <w:iCs/>
          <w:noProof/>
        </w:rPr>
        <w:t>jo</w:t>
      </w:r>
      <w:r>
        <w:rPr>
          <w:b w:val="0"/>
          <w:i/>
          <w:iCs/>
          <w:noProof/>
        </w:rPr>
        <w:t xml:space="preserve"> </w:t>
      </w:r>
      <w:r w:rsidRPr="00EB02AD">
        <w:rPr>
          <w:b w:val="0"/>
          <w:i/>
          <w:iCs/>
          <w:noProof/>
        </w:rPr>
        <w:t>tas</w:t>
      </w:r>
      <w:r>
        <w:rPr>
          <w:b w:val="0"/>
          <w:i/>
          <w:iCs/>
          <w:noProof/>
        </w:rPr>
        <w:t xml:space="preserve"> </w:t>
      </w:r>
      <w:r w:rsidRPr="00EB02AD">
        <w:rPr>
          <w:b w:val="0"/>
          <w:i/>
          <w:iCs/>
          <w:noProof/>
        </w:rPr>
        <w:t>atbilst</w:t>
      </w:r>
      <w:r>
        <w:rPr>
          <w:b w:val="0"/>
          <w:i/>
          <w:iCs/>
          <w:noProof/>
        </w:rPr>
        <w:t xml:space="preserve"> </w:t>
      </w:r>
      <w:r w:rsidRPr="00EB02AD">
        <w:rPr>
          <w:b w:val="0"/>
          <w:i/>
          <w:iCs/>
          <w:noProof/>
        </w:rPr>
        <w:t>galīgajam</w:t>
      </w:r>
      <w:r>
        <w:rPr>
          <w:b w:val="0"/>
          <w:i/>
          <w:iCs/>
          <w:noProof/>
        </w:rPr>
        <w:t xml:space="preserve"> aktam </w:t>
      </w:r>
      <w:r w:rsidRPr="00EB02AD">
        <w:rPr>
          <w:b w:val="0"/>
          <w:i/>
          <w:iCs/>
          <w:noProof/>
        </w:rPr>
        <w:t>– Lēmumam</w:t>
      </w:r>
      <w:r>
        <w:rPr>
          <w:b w:val="0"/>
          <w:i/>
          <w:iCs/>
          <w:noProof/>
        </w:rPr>
        <w:t xml:space="preserve"> (ES) </w:t>
      </w:r>
      <w:r w:rsidRPr="00AF712F">
        <w:rPr>
          <w:b w:val="0"/>
          <w:i/>
          <w:iCs/>
          <w:noProof/>
        </w:rPr>
        <w:t>2026/850</w:t>
      </w:r>
      <w:r w:rsidRPr="00981C8E">
        <w:rPr>
          <w:b w:val="0"/>
          <w:i/>
          <w:iCs/>
          <w:noProof/>
        </w:rPr>
        <w:t>.</w:t>
      </w:r>
      <w:r w:rsidRPr="00EB02AD">
        <w:rPr>
          <w:b w:val="0"/>
          <w:i/>
          <w:iCs/>
          <w:noProof/>
        </w:rPr>
        <w:t>)</w:t>
      </w:r>
    </w:p>
    <w:p w14:paraId="12442133" w14:textId="77777777" w:rsidR="00AF712F" w:rsidRPr="00A45010" w:rsidRDefault="00AF712F" w:rsidP="00B7563D">
      <w:pPr>
        <w:pStyle w:val="NormalHanging12a"/>
        <w:rPr>
          <w:b/>
          <w:bCs/>
        </w:rPr>
      </w:pPr>
    </w:p>
    <w:bookmarkEnd w:id="8"/>
    <w:bookmarkEnd w:id="9"/>
    <w:sectPr w:rsidR="00AF712F" w:rsidRPr="00A45010" w:rsidSect="0087361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0BF5D" w14:textId="77777777" w:rsidR="00B13ABB" w:rsidRPr="0087361C" w:rsidRDefault="00B13ABB">
      <w:r w:rsidRPr="0087361C">
        <w:separator/>
      </w:r>
    </w:p>
  </w:endnote>
  <w:endnote w:type="continuationSeparator" w:id="0">
    <w:p w14:paraId="06E95E2B" w14:textId="77777777" w:rsidR="00B13ABB" w:rsidRPr="0087361C" w:rsidRDefault="00B13ABB">
      <w:r w:rsidRPr="008736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573A3" w14:textId="77777777" w:rsidR="00B7563D" w:rsidRPr="0087361C" w:rsidRDefault="00B7563D" w:rsidP="00816779">
    <w:pPr>
      <w:pStyle w:val="EPFooter"/>
    </w:pPr>
    <w:r w:rsidRPr="0087361C">
      <w:t>PE</w:t>
    </w:r>
    <w:r w:rsidRPr="0087361C">
      <w:rPr>
        <w:rStyle w:val="HideTWBExt"/>
      </w:rPr>
      <w:t>&lt;NoPE&gt;</w:t>
    </w:r>
    <w:r w:rsidRPr="0087361C">
      <w:t>784.472</w:t>
    </w:r>
    <w:r w:rsidRPr="0087361C">
      <w:rPr>
        <w:rStyle w:val="HideTWBExt"/>
      </w:rPr>
      <w:t>&lt;/NoPE&gt;&lt;Version&gt;</w:t>
    </w:r>
    <w:r w:rsidRPr="0087361C">
      <w:t>v02-00</w:t>
    </w:r>
    <w:r w:rsidRPr="0087361C">
      <w:rPr>
        <w:rStyle w:val="HideTWBExt"/>
      </w:rPr>
      <w:t>&lt;/Version&gt;</w:t>
    </w:r>
    <w:r w:rsidRPr="0087361C">
      <w:tab/>
    </w:r>
    <w:r w:rsidRPr="0087361C">
      <w:fldChar w:fldCharType="begin"/>
    </w:r>
    <w:r w:rsidRPr="0087361C">
      <w:instrText xml:space="preserve"> PAGE  \* MERGEFORMAT </w:instrText>
    </w:r>
    <w:r w:rsidRPr="0087361C">
      <w:fldChar w:fldCharType="separate"/>
    </w:r>
    <w:r w:rsidRPr="0087361C">
      <w:rPr>
        <w:noProof/>
      </w:rPr>
      <w:t>2</w:t>
    </w:r>
    <w:r w:rsidRPr="0087361C">
      <w:fldChar w:fldCharType="end"/>
    </w:r>
    <w:r w:rsidRPr="0087361C">
      <w:t>/</w:t>
    </w:r>
    <w:fldSimple w:instr=" NUMPAGES  \* MERGEFORMAT ">
      <w:r w:rsidRPr="0087361C">
        <w:rPr>
          <w:noProof/>
        </w:rPr>
        <w:t>17</w:t>
      </w:r>
    </w:fldSimple>
    <w:r w:rsidRPr="0087361C">
      <w:tab/>
    </w:r>
    <w:r w:rsidRPr="0087361C">
      <w:rPr>
        <w:rStyle w:val="HideTWBExt"/>
      </w:rPr>
      <w:t>&lt;PathFdR&gt;</w:t>
    </w:r>
    <w:r w:rsidRPr="0087361C">
      <w:t>RR\1339711LV.docx</w:t>
    </w:r>
    <w:r w:rsidRPr="0087361C">
      <w:rPr>
        <w:rStyle w:val="HideTWBExt"/>
      </w:rPr>
      <w:t>&lt;/PathFdR&gt;</w:t>
    </w:r>
  </w:p>
  <w:p w14:paraId="17D22908" w14:textId="77777777" w:rsidR="00B7563D" w:rsidRPr="0087361C" w:rsidRDefault="00B7563D" w:rsidP="00816779">
    <w:pPr>
      <w:pStyle w:val="EPFooter2"/>
    </w:pPr>
    <w:r w:rsidRPr="0087361C">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A05F1" w14:textId="77777777" w:rsidR="00B7563D" w:rsidRPr="0087361C" w:rsidRDefault="00B7563D" w:rsidP="00816779">
    <w:pPr>
      <w:pStyle w:val="EPFooter"/>
    </w:pPr>
    <w:r w:rsidRPr="0087361C">
      <w:rPr>
        <w:rStyle w:val="HideTWBExt"/>
      </w:rPr>
      <w:t>&lt;PathFdR&gt;</w:t>
    </w:r>
    <w:r w:rsidRPr="0087361C">
      <w:t>RR\1339711LV.docx</w:t>
    </w:r>
    <w:r w:rsidRPr="0087361C">
      <w:rPr>
        <w:rStyle w:val="HideTWBExt"/>
      </w:rPr>
      <w:t>&lt;/PathFdR&gt;</w:t>
    </w:r>
    <w:r w:rsidRPr="0087361C">
      <w:tab/>
    </w:r>
    <w:r w:rsidRPr="0087361C">
      <w:tab/>
      <w:t>PE</w:t>
    </w:r>
    <w:r w:rsidRPr="0087361C">
      <w:rPr>
        <w:rStyle w:val="HideTWBExt"/>
      </w:rPr>
      <w:t>&lt;NoPE&gt;</w:t>
    </w:r>
    <w:r w:rsidRPr="0087361C">
      <w:t>784.472</w:t>
    </w:r>
    <w:r w:rsidRPr="0087361C">
      <w:rPr>
        <w:rStyle w:val="HideTWBExt"/>
      </w:rPr>
      <w:t>&lt;/NoPE&gt;&lt;Version&gt;</w:t>
    </w:r>
    <w:r w:rsidRPr="0087361C">
      <w:t>v02-00</w:t>
    </w:r>
    <w:r w:rsidRPr="0087361C">
      <w:rPr>
        <w:rStyle w:val="HideTWBExt"/>
      </w:rPr>
      <w:t>&lt;/Version&gt;</w:t>
    </w:r>
  </w:p>
  <w:p w14:paraId="4D42E8DF" w14:textId="77777777" w:rsidR="00B7563D" w:rsidRPr="0087361C" w:rsidRDefault="00B7563D" w:rsidP="00816779">
    <w:pPr>
      <w:pStyle w:val="EPFooter2"/>
    </w:pPr>
    <w:r w:rsidRPr="0087361C">
      <w:t>LV</w:t>
    </w:r>
    <w:r w:rsidRPr="0087361C">
      <w:tab/>
    </w:r>
    <w:r w:rsidRPr="0087361C">
      <w:rPr>
        <w:b w:val="0"/>
        <w:i/>
        <w:color w:val="C0C0C0"/>
        <w:sz w:val="22"/>
      </w:rPr>
      <w:t>Vienoti daudzveidībā</w:t>
    </w:r>
    <w:r w:rsidRPr="0087361C">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00BB7" w14:textId="77777777" w:rsidR="00064002" w:rsidRPr="0087361C"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DEE45" w14:textId="77777777" w:rsidR="00064002" w:rsidRPr="0087361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EB13B" w14:textId="77777777" w:rsidR="00064002" w:rsidRPr="008736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9D803" w14:textId="77777777" w:rsidR="00B13ABB" w:rsidRPr="0087361C" w:rsidRDefault="00B13ABB">
      <w:r w:rsidRPr="0087361C">
        <w:separator/>
      </w:r>
    </w:p>
  </w:footnote>
  <w:footnote w:type="continuationSeparator" w:id="0">
    <w:p w14:paraId="01479D75" w14:textId="77777777" w:rsidR="00B13ABB" w:rsidRPr="0087361C" w:rsidRDefault="00B13ABB">
      <w:r w:rsidRPr="0087361C">
        <w:continuationSeparator/>
      </w:r>
    </w:p>
  </w:footnote>
  <w:footnote w:id="1">
    <w:p w14:paraId="3A0C068A" w14:textId="0459FC66" w:rsidR="00B7563D" w:rsidRPr="0087361C" w:rsidRDefault="00B7563D" w:rsidP="0087361C">
      <w:pPr>
        <w:pStyle w:val="FootnoteText"/>
        <w:ind w:left="567" w:hanging="567"/>
        <w:rPr>
          <w:sz w:val="24"/>
          <w:lang w:val="lv-LV"/>
        </w:rPr>
      </w:pPr>
      <w:r w:rsidRPr="0087361C">
        <w:rPr>
          <w:rStyle w:val="FootnoteReference"/>
          <w:sz w:val="24"/>
          <w:lang w:val="lv-LV"/>
        </w:rPr>
        <w:footnoteRef/>
      </w:r>
      <w:r w:rsidR="0087361C" w:rsidRPr="0087361C">
        <w:rPr>
          <w:sz w:val="24"/>
          <w:lang w:val="lv-LV"/>
        </w:rPr>
        <w:t xml:space="preserve"> </w:t>
      </w:r>
      <w:r w:rsidR="0087361C" w:rsidRPr="0087361C">
        <w:rPr>
          <w:sz w:val="24"/>
          <w:lang w:val="lv-LV"/>
        </w:rPr>
        <w:tab/>
      </w:r>
      <w:r w:rsidRPr="0087361C">
        <w:rPr>
          <w:sz w:val="24"/>
          <w:lang w:val="lv-LV"/>
        </w:rPr>
        <w:t xml:space="preserve">OV L 153, 3.5.2021., 48. lpp., ELI: </w:t>
      </w:r>
      <w:hyperlink r:id="rId1" w:history="1">
        <w:r w:rsidRPr="0087361C">
          <w:rPr>
            <w:rStyle w:val="Hyperlink"/>
            <w:sz w:val="24"/>
            <w:lang w:val="lv-LV"/>
          </w:rPr>
          <w:t>http://data.europa.eu/eli/reg/2021/691/oj</w:t>
        </w:r>
      </w:hyperlink>
      <w:r w:rsidRPr="0087361C">
        <w:rPr>
          <w:sz w:val="24"/>
          <w:lang w:val="lv-LV"/>
        </w:rPr>
        <w:t>.</w:t>
      </w:r>
    </w:p>
  </w:footnote>
  <w:footnote w:id="2">
    <w:p w14:paraId="7A63B06D" w14:textId="79C296F0" w:rsidR="00B7563D" w:rsidRPr="0087361C" w:rsidRDefault="00B7563D" w:rsidP="0087361C">
      <w:pPr>
        <w:pStyle w:val="FootnoteText"/>
        <w:ind w:left="567" w:hanging="567"/>
        <w:rPr>
          <w:sz w:val="24"/>
          <w:lang w:val="lv-LV"/>
        </w:rPr>
      </w:pPr>
      <w:r w:rsidRPr="0087361C">
        <w:rPr>
          <w:rStyle w:val="FootnoteReference"/>
          <w:sz w:val="24"/>
          <w:lang w:val="lv-LV"/>
        </w:rPr>
        <w:footnoteRef/>
      </w:r>
      <w:r w:rsidR="0087361C" w:rsidRPr="0087361C">
        <w:rPr>
          <w:sz w:val="24"/>
          <w:lang w:val="lv-LV"/>
        </w:rPr>
        <w:t xml:space="preserve"> </w:t>
      </w:r>
      <w:r w:rsidR="0087361C" w:rsidRPr="0087361C">
        <w:rPr>
          <w:sz w:val="24"/>
          <w:lang w:val="lv-LV"/>
        </w:rPr>
        <w:tab/>
      </w:r>
      <w:r w:rsidRPr="0087361C">
        <w:rPr>
          <w:sz w:val="24"/>
          <w:lang w:val="lv-LV"/>
        </w:rPr>
        <w:t>OV L 433 I, 22.12.2020., 11. </w:t>
      </w:r>
      <w:r w:rsidRPr="0087361C">
        <w:rPr>
          <w:sz w:val="24"/>
          <w:lang w:val="lv-LV"/>
        </w:rPr>
        <w:t xml:space="preserve">lpp., ELI: </w:t>
      </w:r>
      <w:hyperlink r:id="rId2" w:history="1">
        <w:r w:rsidRPr="0087361C">
          <w:rPr>
            <w:rStyle w:val="Hyperlink"/>
            <w:sz w:val="24"/>
            <w:lang w:val="lv-LV"/>
          </w:rPr>
          <w:t>http://data.europa.eu/eli/reg/2020/2093/oj</w:t>
        </w:r>
      </w:hyperlink>
      <w:r w:rsidRPr="0087361C">
        <w:rPr>
          <w:sz w:val="24"/>
          <w:lang w:val="lv-LV"/>
        </w:rPr>
        <w:t>.</w:t>
      </w:r>
    </w:p>
  </w:footnote>
  <w:footnote w:id="3">
    <w:p w14:paraId="5D742CB3" w14:textId="6A802CD1" w:rsidR="00B7563D" w:rsidRPr="0087361C" w:rsidRDefault="00B7563D" w:rsidP="0087361C">
      <w:pPr>
        <w:pStyle w:val="FootnoteText"/>
        <w:ind w:left="567" w:hanging="567"/>
        <w:rPr>
          <w:sz w:val="24"/>
          <w:lang w:val="lv-LV"/>
        </w:rPr>
      </w:pPr>
      <w:r w:rsidRPr="0087361C">
        <w:rPr>
          <w:rStyle w:val="FootnoteReference"/>
          <w:sz w:val="24"/>
          <w:lang w:val="lv-LV"/>
        </w:rPr>
        <w:footnoteRef/>
      </w:r>
      <w:r w:rsidR="0087361C" w:rsidRPr="0087361C">
        <w:rPr>
          <w:sz w:val="24"/>
          <w:shd w:val="clear" w:color="auto" w:fill="FFFFFF"/>
          <w:lang w:val="lv-LV"/>
        </w:rPr>
        <w:t xml:space="preserve"> </w:t>
      </w:r>
      <w:r w:rsidR="0087361C" w:rsidRPr="0087361C">
        <w:rPr>
          <w:sz w:val="24"/>
          <w:shd w:val="clear" w:color="auto" w:fill="FFFFFF"/>
          <w:lang w:val="lv-LV"/>
        </w:rPr>
        <w:tab/>
      </w:r>
      <w:r w:rsidRPr="0087361C">
        <w:rPr>
          <w:sz w:val="24"/>
          <w:shd w:val="clear" w:color="auto" w:fill="FFFFFF"/>
          <w:lang w:val="lv-LV"/>
        </w:rPr>
        <w:t xml:space="preserve">Padomes Regula (ES, </w:t>
      </w:r>
      <w:r w:rsidRPr="0087361C">
        <w:rPr>
          <w:i/>
          <w:iCs/>
          <w:sz w:val="24"/>
          <w:shd w:val="clear" w:color="auto" w:fill="FFFFFF"/>
          <w:lang w:val="lv-LV"/>
        </w:rPr>
        <w:t>Euratom</w:t>
      </w:r>
      <w:r w:rsidRPr="0087361C">
        <w:rPr>
          <w:sz w:val="24"/>
          <w:shd w:val="clear" w:color="auto" w:fill="FFFFFF"/>
          <w:lang w:val="lv-LV"/>
        </w:rPr>
        <w:t xml:space="preserve">) 2024/765 (2024. gada 29. februāris), ar kuru groza Regulu (ES, </w:t>
      </w:r>
      <w:r w:rsidRPr="0087361C">
        <w:rPr>
          <w:i/>
          <w:iCs/>
          <w:sz w:val="24"/>
          <w:shd w:val="clear" w:color="auto" w:fill="FFFFFF"/>
          <w:lang w:val="lv-LV"/>
        </w:rPr>
        <w:t>Euratom</w:t>
      </w:r>
      <w:r w:rsidRPr="0087361C">
        <w:rPr>
          <w:sz w:val="24"/>
          <w:shd w:val="clear" w:color="auto" w:fill="FFFFFF"/>
          <w:lang w:val="lv-LV"/>
        </w:rPr>
        <w:t>) 2020/2093, ar ko nosaka daudzgadu finanšu shēmu 2021.–2027. </w:t>
      </w:r>
      <w:r w:rsidRPr="0087361C">
        <w:rPr>
          <w:sz w:val="24"/>
          <w:shd w:val="clear" w:color="auto" w:fill="FFFFFF"/>
          <w:lang w:val="lv-LV"/>
        </w:rPr>
        <w:t xml:space="preserve">gadam (OV L, 2024/765, 29.2.2024., ELI: </w:t>
      </w:r>
      <w:hyperlink r:id="rId3" w:history="1">
        <w:r w:rsidRPr="0087361C">
          <w:rPr>
            <w:rStyle w:val="Hyperlink"/>
            <w:sz w:val="24"/>
            <w:shd w:val="clear" w:color="auto" w:fill="FFFFFF"/>
            <w:lang w:val="lv-LV"/>
          </w:rPr>
          <w:t>http://data.europa.eu/eli/reg/2024/765/oj</w:t>
        </w:r>
      </w:hyperlink>
      <w:r w:rsidRPr="0087361C">
        <w:rPr>
          <w:sz w:val="24"/>
          <w:shd w:val="clear" w:color="auto" w:fill="FFFFFF"/>
          <w:lang w:val="lv-LV"/>
        </w:rPr>
        <w:t>)</w:t>
      </w:r>
      <w:r w:rsidRPr="0087361C">
        <w:rPr>
          <w:i/>
          <w:sz w:val="24"/>
          <w:shd w:val="clear" w:color="auto" w:fill="FFFFFF"/>
          <w:lang w:val="lv-LV"/>
        </w:rPr>
        <w:t>.</w:t>
      </w:r>
    </w:p>
  </w:footnote>
  <w:footnote w:id="4">
    <w:p w14:paraId="4CE3A678" w14:textId="20C101CF" w:rsidR="00B7563D" w:rsidRPr="0087361C" w:rsidRDefault="00B7563D" w:rsidP="0087361C">
      <w:pPr>
        <w:pStyle w:val="FootnoteText"/>
        <w:ind w:left="567" w:hanging="567"/>
        <w:rPr>
          <w:sz w:val="24"/>
          <w:lang w:val="lv-LV"/>
        </w:rPr>
      </w:pPr>
      <w:r w:rsidRPr="0087361C">
        <w:rPr>
          <w:rStyle w:val="FootnoteReference"/>
          <w:sz w:val="24"/>
          <w:lang w:val="lv-LV"/>
        </w:rPr>
        <w:footnoteRef/>
      </w:r>
      <w:r w:rsidR="0087361C" w:rsidRPr="0087361C">
        <w:rPr>
          <w:sz w:val="24"/>
          <w:lang w:val="lv-LV"/>
        </w:rPr>
        <w:t xml:space="preserve"> </w:t>
      </w:r>
      <w:r w:rsidR="0087361C" w:rsidRPr="0087361C">
        <w:rPr>
          <w:sz w:val="24"/>
          <w:lang w:val="lv-LV"/>
        </w:rPr>
        <w:tab/>
      </w:r>
      <w:r w:rsidRPr="0087361C">
        <w:rPr>
          <w:sz w:val="24"/>
          <w:lang w:val="lv-LV"/>
        </w:rPr>
        <w:t>OV L 433 I, 22.12.2020., 28. </w:t>
      </w:r>
      <w:r w:rsidRPr="0087361C">
        <w:rPr>
          <w:sz w:val="24"/>
          <w:lang w:val="lv-LV"/>
        </w:rPr>
        <w:t xml:space="preserve">lpp., ELI: </w:t>
      </w:r>
      <w:hyperlink r:id="rId4" w:history="1">
        <w:r w:rsidRPr="0087361C">
          <w:rPr>
            <w:rStyle w:val="Hyperlink"/>
            <w:sz w:val="24"/>
            <w:lang w:val="lv-LV"/>
          </w:rPr>
          <w:t>http://data.europa.eu/eli/agree_interinstit/2020/1222/oj</w:t>
        </w:r>
      </w:hyperlink>
      <w:r w:rsidRPr="0087361C">
        <w:rPr>
          <w:sz w:val="24"/>
          <w:lang w:val="lv-LV"/>
        </w:rPr>
        <w:t>.</w:t>
      </w:r>
    </w:p>
  </w:footnote>
  <w:footnote w:id="5">
    <w:p w14:paraId="54762275" w14:textId="6FF7CD78" w:rsidR="00B7563D" w:rsidRPr="0087361C" w:rsidRDefault="00B7563D" w:rsidP="0087361C">
      <w:pPr>
        <w:pStyle w:val="FootnoteText"/>
        <w:ind w:left="567" w:hanging="567"/>
        <w:rPr>
          <w:sz w:val="24"/>
          <w:lang w:val="lv-LV"/>
        </w:rPr>
      </w:pPr>
      <w:r w:rsidRPr="0087361C">
        <w:rPr>
          <w:rStyle w:val="FootnoteReference"/>
          <w:sz w:val="24"/>
          <w:lang w:val="lv-LV"/>
        </w:rPr>
        <w:footnoteRef/>
      </w:r>
      <w:r w:rsidR="0087361C" w:rsidRPr="0087361C">
        <w:rPr>
          <w:sz w:val="24"/>
          <w:lang w:val="lv-LV"/>
        </w:rPr>
        <w:t xml:space="preserve"> </w:t>
      </w:r>
      <w:r w:rsidR="0087361C" w:rsidRPr="0087361C">
        <w:rPr>
          <w:sz w:val="24"/>
          <w:lang w:val="lv-LV"/>
        </w:rPr>
        <w:tab/>
      </w:r>
      <w:r w:rsidRPr="0087361C">
        <w:rPr>
          <w:sz w:val="24"/>
          <w:lang w:val="lv-LV"/>
        </w:rPr>
        <w:t>EGF regulas 3. panta nozīmē.</w:t>
      </w:r>
    </w:p>
  </w:footnote>
  <w:footnote w:id="6">
    <w:p w14:paraId="5314CCAD" w14:textId="5A3C0E73" w:rsidR="00B7563D" w:rsidRPr="0087361C" w:rsidRDefault="00B7563D" w:rsidP="0087361C">
      <w:pPr>
        <w:pStyle w:val="FootnoteText"/>
        <w:ind w:left="567" w:hanging="567"/>
        <w:rPr>
          <w:sz w:val="24"/>
          <w:lang w:val="lv-LV"/>
        </w:rPr>
      </w:pPr>
      <w:r w:rsidRPr="0087361C">
        <w:rPr>
          <w:rStyle w:val="FootnoteReference"/>
          <w:sz w:val="24"/>
          <w:lang w:val="lv-LV"/>
        </w:rPr>
        <w:footnoteRef/>
      </w:r>
      <w:r w:rsidR="0087361C" w:rsidRPr="0087361C">
        <w:rPr>
          <w:sz w:val="24"/>
          <w:lang w:val="lv-LV"/>
        </w:rPr>
        <w:t xml:space="preserve"> </w:t>
      </w:r>
      <w:r w:rsidR="0087361C" w:rsidRPr="0087361C">
        <w:rPr>
          <w:sz w:val="24"/>
          <w:lang w:val="lv-LV"/>
        </w:rPr>
        <w:tab/>
      </w:r>
      <w:r w:rsidRPr="0087361C">
        <w:rPr>
          <w:sz w:val="24"/>
          <w:lang w:val="lv-LV"/>
        </w:rPr>
        <w:t>DFS regulas 8. pants.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7FEC" w14:textId="77777777" w:rsidR="00064002" w:rsidRPr="0087361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811BE" w14:textId="77777777" w:rsidR="00064002" w:rsidRPr="0087361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6435D" w14:textId="77777777" w:rsidR="00064002" w:rsidRPr="008736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9382722">
    <w:abstractNumId w:val="9"/>
  </w:num>
  <w:num w:numId="2" w16cid:durableId="32971813">
    <w:abstractNumId w:val="9"/>
  </w:num>
  <w:num w:numId="3" w16cid:durableId="172569096">
    <w:abstractNumId w:val="7"/>
  </w:num>
  <w:num w:numId="4" w16cid:durableId="418867915">
    <w:abstractNumId w:val="7"/>
  </w:num>
  <w:num w:numId="5" w16cid:durableId="1214660981">
    <w:abstractNumId w:val="6"/>
  </w:num>
  <w:num w:numId="6" w16cid:durableId="653342144">
    <w:abstractNumId w:val="6"/>
  </w:num>
  <w:num w:numId="7" w16cid:durableId="1116484692">
    <w:abstractNumId w:val="5"/>
  </w:num>
  <w:num w:numId="8" w16cid:durableId="1648046197">
    <w:abstractNumId w:val="5"/>
  </w:num>
  <w:num w:numId="9" w16cid:durableId="932519551">
    <w:abstractNumId w:val="4"/>
  </w:num>
  <w:num w:numId="10" w16cid:durableId="1757439178">
    <w:abstractNumId w:val="4"/>
  </w:num>
  <w:num w:numId="11" w16cid:durableId="454644060">
    <w:abstractNumId w:val="8"/>
  </w:num>
  <w:num w:numId="12" w16cid:durableId="1894269136">
    <w:abstractNumId w:val="8"/>
  </w:num>
  <w:num w:numId="13" w16cid:durableId="509100597">
    <w:abstractNumId w:val="3"/>
  </w:num>
  <w:num w:numId="14" w16cid:durableId="1661038175">
    <w:abstractNumId w:val="3"/>
  </w:num>
  <w:num w:numId="15" w16cid:durableId="2089688310">
    <w:abstractNumId w:val="2"/>
  </w:num>
  <w:num w:numId="16" w16cid:durableId="1082263797">
    <w:abstractNumId w:val="2"/>
  </w:num>
  <w:num w:numId="17" w16cid:durableId="589893229">
    <w:abstractNumId w:val="1"/>
  </w:num>
  <w:num w:numId="18" w16cid:durableId="1757509743">
    <w:abstractNumId w:val="1"/>
  </w:num>
  <w:num w:numId="19" w16cid:durableId="1458447414">
    <w:abstractNumId w:val="0"/>
  </w:num>
  <w:num w:numId="20" w16cid:durableId="395979087">
    <w:abstractNumId w:val="0"/>
  </w:num>
  <w:num w:numId="21" w16cid:durableId="1412120682">
    <w:abstractNumId w:val="9"/>
  </w:num>
  <w:num w:numId="22" w16cid:durableId="468591786">
    <w:abstractNumId w:val="7"/>
  </w:num>
  <w:num w:numId="23" w16cid:durableId="2070760935">
    <w:abstractNumId w:val="6"/>
  </w:num>
  <w:num w:numId="24" w16cid:durableId="152841209">
    <w:abstractNumId w:val="5"/>
  </w:num>
  <w:num w:numId="25" w16cid:durableId="1966352856">
    <w:abstractNumId w:val="4"/>
  </w:num>
  <w:num w:numId="26" w16cid:durableId="582227341">
    <w:abstractNumId w:val="8"/>
  </w:num>
  <w:num w:numId="27" w16cid:durableId="1355763150">
    <w:abstractNumId w:val="3"/>
  </w:num>
  <w:num w:numId="28" w16cid:durableId="1854568618">
    <w:abstractNumId w:val="2"/>
  </w:num>
  <w:num w:numId="29" w16cid:durableId="261764034">
    <w:abstractNumId w:val="1"/>
  </w:num>
  <w:num w:numId="30" w16cid:durableId="1975940305">
    <w:abstractNumId w:val="0"/>
  </w:num>
  <w:num w:numId="31" w16cid:durableId="1369795442">
    <w:abstractNumId w:val="9"/>
  </w:num>
  <w:num w:numId="32" w16cid:durableId="827138184">
    <w:abstractNumId w:val="7"/>
  </w:num>
  <w:num w:numId="33" w16cid:durableId="1181042782">
    <w:abstractNumId w:val="6"/>
  </w:num>
  <w:num w:numId="34" w16cid:durableId="1128163358">
    <w:abstractNumId w:val="5"/>
  </w:num>
  <w:num w:numId="35" w16cid:durableId="229314866">
    <w:abstractNumId w:val="4"/>
  </w:num>
  <w:num w:numId="36" w16cid:durableId="156846993">
    <w:abstractNumId w:val="8"/>
  </w:num>
  <w:num w:numId="37" w16cid:durableId="2128694587">
    <w:abstractNumId w:val="3"/>
  </w:num>
  <w:num w:numId="38" w16cid:durableId="699866541">
    <w:abstractNumId w:val="2"/>
  </w:num>
  <w:num w:numId="39" w16cid:durableId="440421059">
    <w:abstractNumId w:val="1"/>
  </w:num>
  <w:num w:numId="40" w16cid:durableId="91439289">
    <w:abstractNumId w:val="0"/>
  </w:num>
  <w:num w:numId="41" w16cid:durableId="557279565">
    <w:abstractNumId w:val="10"/>
  </w:num>
  <w:num w:numId="42" w16cid:durableId="351952053">
    <w:abstractNumId w:val="10"/>
  </w:num>
  <w:num w:numId="43" w16cid:durableId="1333097529">
    <w:abstractNumId w:val="10"/>
  </w:num>
  <w:num w:numId="44" w16cid:durableId="19249493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0/2026"/>
    <w:docVar w:name="dvlangue" w:val="LV"/>
    <w:docVar w:name="dvnumam" w:val="0"/>
    <w:docVar w:name="dvpe" w:val="784.472"/>
    <w:docVar w:name="dvrapporteur" w:val="Referents: "/>
    <w:docVar w:name="dvtitre" w:val="Eiropas Parlamenta 2026. gada XX. XXX  rezolūcija par priekšlikumu Eiropas Parlamenta un Padomes lēmumam par Eiropas Globalizācijas pielāgošanās fonda darbu zaudējušiem darba ņēmējiem izmantošanu saistībā ar Austrijas iesniegto pieteikumu (EGF/2025/005 AT/KTM)(COM(2026)0010 – C10-0026/2026 – 2026/0037(BUD))"/>
  </w:docVars>
  <w:rsids>
    <w:rsidRoot w:val="00B13ABB"/>
    <w:rsid w:val="00002272"/>
    <w:rsid w:val="00064002"/>
    <w:rsid w:val="000677B9"/>
    <w:rsid w:val="000831BA"/>
    <w:rsid w:val="000A42CC"/>
    <w:rsid w:val="000E72B5"/>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393A"/>
    <w:rsid w:val="006F74FA"/>
    <w:rsid w:val="00731ADD"/>
    <w:rsid w:val="00734777"/>
    <w:rsid w:val="00741BDB"/>
    <w:rsid w:val="00747932"/>
    <w:rsid w:val="00751A4A"/>
    <w:rsid w:val="00756632"/>
    <w:rsid w:val="00762C74"/>
    <w:rsid w:val="0078486C"/>
    <w:rsid w:val="00786EC0"/>
    <w:rsid w:val="007D1690"/>
    <w:rsid w:val="007E22AD"/>
    <w:rsid w:val="00817416"/>
    <w:rsid w:val="00842779"/>
    <w:rsid w:val="00865F67"/>
    <w:rsid w:val="0087361C"/>
    <w:rsid w:val="00881A7B"/>
    <w:rsid w:val="008840E5"/>
    <w:rsid w:val="00887B3E"/>
    <w:rsid w:val="008C2AC6"/>
    <w:rsid w:val="00930C23"/>
    <w:rsid w:val="0093193B"/>
    <w:rsid w:val="009509D8"/>
    <w:rsid w:val="00950B64"/>
    <w:rsid w:val="00981893"/>
    <w:rsid w:val="00A1687D"/>
    <w:rsid w:val="00A43E52"/>
    <w:rsid w:val="00A45010"/>
    <w:rsid w:val="00A4678D"/>
    <w:rsid w:val="00A778C7"/>
    <w:rsid w:val="00AB441E"/>
    <w:rsid w:val="00AB6293"/>
    <w:rsid w:val="00AE0928"/>
    <w:rsid w:val="00AF3B82"/>
    <w:rsid w:val="00AF712F"/>
    <w:rsid w:val="00B12E95"/>
    <w:rsid w:val="00B13ABB"/>
    <w:rsid w:val="00B22876"/>
    <w:rsid w:val="00B558F0"/>
    <w:rsid w:val="00B7563D"/>
    <w:rsid w:val="00BD48FE"/>
    <w:rsid w:val="00BD7BD8"/>
    <w:rsid w:val="00BE6ADC"/>
    <w:rsid w:val="00C05BFE"/>
    <w:rsid w:val="00C23CD4"/>
    <w:rsid w:val="00C31C40"/>
    <w:rsid w:val="00C61C0C"/>
    <w:rsid w:val="00C941CB"/>
    <w:rsid w:val="00CC2357"/>
    <w:rsid w:val="00CF071A"/>
    <w:rsid w:val="00D058B8"/>
    <w:rsid w:val="00D44B05"/>
    <w:rsid w:val="00D56C11"/>
    <w:rsid w:val="00D834A0"/>
    <w:rsid w:val="00D872DF"/>
    <w:rsid w:val="00D91E21"/>
    <w:rsid w:val="00DA7FCD"/>
    <w:rsid w:val="00E365E1"/>
    <w:rsid w:val="00E820A4"/>
    <w:rsid w:val="00EB006A"/>
    <w:rsid w:val="00EB2709"/>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BE9141"/>
  <w15:chartTrackingRefBased/>
  <w15:docId w15:val="{E2E89859-ACC7-4518-80AA-019D31E94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7563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B7563D"/>
    <w:pPr>
      <w:keepNext/>
      <w:spacing w:after="480"/>
      <w:jc w:val="center"/>
    </w:pPr>
    <w:rPr>
      <w:rFonts w:ascii="Arial" w:hAnsi="Arial" w:cs="Arial"/>
      <w:b/>
    </w:rPr>
  </w:style>
  <w:style w:type="paragraph" w:customStyle="1" w:styleId="NormalBold">
    <w:name w:val="NormalBold"/>
    <w:basedOn w:val="Normal"/>
    <w:rsid w:val="00B7563D"/>
    <w:rPr>
      <w:b/>
    </w:rPr>
  </w:style>
  <w:style w:type="paragraph" w:customStyle="1" w:styleId="NormalHanging12a">
    <w:name w:val="NormalHanging12a"/>
    <w:basedOn w:val="Normal"/>
    <w:link w:val="NormalHanging12aChar"/>
    <w:rsid w:val="00B7563D"/>
    <w:pPr>
      <w:spacing w:after="240"/>
      <w:ind w:left="567" w:hanging="567"/>
    </w:pPr>
  </w:style>
  <w:style w:type="paragraph" w:styleId="Header">
    <w:name w:val="header"/>
    <w:basedOn w:val="Normal"/>
    <w:link w:val="HeaderChar"/>
    <w:rsid w:val="00B7563D"/>
    <w:pPr>
      <w:tabs>
        <w:tab w:val="center" w:pos="4513"/>
        <w:tab w:val="right" w:pos="9026"/>
      </w:tabs>
    </w:pPr>
  </w:style>
  <w:style w:type="character" w:customStyle="1" w:styleId="HeaderChar">
    <w:name w:val="Header Char"/>
    <w:basedOn w:val="DefaultParagraphFont"/>
    <w:link w:val="Header"/>
    <w:rsid w:val="00B7563D"/>
    <w:rPr>
      <w:sz w:val="24"/>
      <w:lang w:val="lv-LV"/>
    </w:rPr>
  </w:style>
  <w:style w:type="paragraph" w:customStyle="1" w:styleId="EPFooter">
    <w:name w:val="EPFooter"/>
    <w:basedOn w:val="Normal"/>
    <w:rsid w:val="00B7563D"/>
    <w:pPr>
      <w:tabs>
        <w:tab w:val="center" w:pos="4535"/>
        <w:tab w:val="right" w:pos="9071"/>
      </w:tabs>
      <w:spacing w:before="240" w:after="240"/>
    </w:pPr>
    <w:rPr>
      <w:color w:val="010000"/>
      <w:sz w:val="22"/>
    </w:rPr>
  </w:style>
  <w:style w:type="paragraph" w:customStyle="1" w:styleId="EPComma">
    <w:name w:val="EPComma"/>
    <w:basedOn w:val="Normal"/>
    <w:rsid w:val="00B7563D"/>
    <w:pPr>
      <w:spacing w:before="480" w:after="240"/>
    </w:pPr>
  </w:style>
  <w:style w:type="character" w:styleId="Hyperlink">
    <w:name w:val="Hyperlink"/>
    <w:basedOn w:val="DefaultParagraphFont"/>
    <w:rsid w:val="00B7563D"/>
    <w:rPr>
      <w:color w:val="0563C1" w:themeColor="hyperlink"/>
      <w:u w:val="single"/>
    </w:rPr>
  </w:style>
  <w:style w:type="character" w:customStyle="1" w:styleId="NormalHanging12aChar">
    <w:name w:val="NormalHanging12a Char"/>
    <w:basedOn w:val="DefaultParagraphFont"/>
    <w:link w:val="NormalHanging12a"/>
    <w:locked/>
    <w:rsid w:val="00B7563D"/>
    <w:rPr>
      <w:sz w:val="24"/>
      <w:lang w:val="lv-LV"/>
    </w:rPr>
  </w:style>
  <w:style w:type="character" w:customStyle="1" w:styleId="PageHeadingChar">
    <w:name w:val="PageHeading Char"/>
    <w:basedOn w:val="DefaultParagraphFont"/>
    <w:link w:val="PageHeading"/>
    <w:rsid w:val="00B7563D"/>
    <w:rPr>
      <w:rFonts w:ascii="Arial" w:hAnsi="Arial" w:cs="Arial"/>
      <w:b/>
      <w:sz w:val="24"/>
      <w:lang w:val="lv-LV"/>
    </w:rPr>
  </w:style>
  <w:style w:type="paragraph" w:styleId="Revision">
    <w:name w:val="Revision"/>
    <w:hidden/>
    <w:uiPriority w:val="99"/>
    <w:semiHidden/>
    <w:rsid w:val="0078486C"/>
    <w:rPr>
      <w:sz w:val="24"/>
      <w:lang w:val="lv-LV"/>
    </w:rPr>
  </w:style>
  <w:style w:type="paragraph" w:styleId="Footer">
    <w:name w:val="footer"/>
    <w:basedOn w:val="Normal"/>
    <w:link w:val="FooterChar"/>
    <w:rsid w:val="00AF712F"/>
    <w:pPr>
      <w:tabs>
        <w:tab w:val="center" w:pos="4513"/>
        <w:tab w:val="right" w:pos="9026"/>
      </w:tabs>
    </w:pPr>
  </w:style>
  <w:style w:type="character" w:customStyle="1" w:styleId="FooterChar">
    <w:name w:val="Footer Char"/>
    <w:basedOn w:val="DefaultParagraphFont"/>
    <w:link w:val="Footer"/>
    <w:rsid w:val="00AF712F"/>
    <w:rPr>
      <w:sz w:val="24"/>
      <w:lang w:val="lv-LV"/>
    </w:rPr>
  </w:style>
  <w:style w:type="paragraph" w:customStyle="1" w:styleId="Normal24Bold">
    <w:name w:val="Normal24Bold"/>
    <w:basedOn w:val="Normal"/>
    <w:rsid w:val="00AF712F"/>
    <w:pPr>
      <w:spacing w:after="480"/>
    </w:pPr>
    <w:rPr>
      <w:b/>
      <w:bCs/>
    </w:rPr>
  </w:style>
  <w:style w:type="character" w:styleId="CommentReference">
    <w:name w:val="annotation reference"/>
    <w:basedOn w:val="DefaultParagraphFont"/>
    <w:rsid w:val="00AF712F"/>
    <w:rPr>
      <w:sz w:val="16"/>
      <w:szCs w:val="16"/>
    </w:rPr>
  </w:style>
  <w:style w:type="paragraph" w:styleId="CommentText">
    <w:name w:val="annotation text"/>
    <w:basedOn w:val="Normal"/>
    <w:link w:val="CommentTextChar"/>
    <w:rsid w:val="00AF712F"/>
    <w:rPr>
      <w:sz w:val="20"/>
      <w:lang w:val="en-GB"/>
    </w:rPr>
  </w:style>
  <w:style w:type="character" w:customStyle="1" w:styleId="CommentTextChar">
    <w:name w:val="Comment Text Char"/>
    <w:basedOn w:val="DefaultParagraphFont"/>
    <w:link w:val="CommentText"/>
    <w:rsid w:val="00AF7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1339</Words>
  <Characters>8792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MERSCH Larisa</cp:lastModifiedBy>
  <cp:revision>2</cp:revision>
  <cp:lastPrinted>2004-11-19T15:42:00Z</cp:lastPrinted>
  <dcterms:created xsi:type="dcterms:W3CDTF">2026-05-20T16:03:00Z</dcterms:created>
  <dcterms:modified xsi:type="dcterms:W3CDTF">2026-05-20T16:03:00Z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P10_TA(2026)0103_</vt:lpwstr>
  </property>
  <property fmtid="{D5CDD505-2E9C-101B-9397-08002B2CF9AE}" pid="4" name="&lt;Type&gt;">
    <vt:lpwstr>RR</vt:lpwstr>
  </property>
</Properties>
</file>