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1C6F" w14:paraId="4719959D" w14:textId="77777777" w:rsidTr="0010095E">
        <w:trPr>
          <w:trHeight w:hRule="exact" w:val="1418"/>
        </w:trPr>
        <w:tc>
          <w:tcPr>
            <w:tcW w:w="6804" w:type="dxa"/>
            <w:shd w:val="clear" w:color="auto" w:fill="auto"/>
            <w:vAlign w:val="center"/>
          </w:tcPr>
          <w:p w14:paraId="595284F7" w14:textId="52F72B94" w:rsidR="00751A4A" w:rsidRPr="002B1C6F" w:rsidRDefault="0099716F" w:rsidP="0010095E">
            <w:pPr>
              <w:pStyle w:val="EPName"/>
            </w:pPr>
            <w:r w:rsidRPr="002B1C6F">
              <w:t>Parlamentul European</w:t>
            </w:r>
          </w:p>
          <w:p w14:paraId="4DC3ED98" w14:textId="77777777" w:rsidR="00751A4A" w:rsidRPr="002B1C6F" w:rsidRDefault="005F1B17" w:rsidP="005F1B17">
            <w:pPr>
              <w:pStyle w:val="EPTerm"/>
              <w:rPr>
                <w:rStyle w:val="HideTWBExt"/>
                <w:noProof w:val="0"/>
                <w:vanish w:val="0"/>
                <w:color w:val="auto"/>
              </w:rPr>
            </w:pPr>
            <w:r w:rsidRPr="002B1C6F">
              <w:t>2024</w:t>
            </w:r>
            <w:r w:rsidR="00817416" w:rsidRPr="002B1C6F">
              <w:t>-202</w:t>
            </w:r>
            <w:r w:rsidRPr="002B1C6F">
              <w:t>9</w:t>
            </w:r>
          </w:p>
        </w:tc>
        <w:tc>
          <w:tcPr>
            <w:tcW w:w="2268" w:type="dxa"/>
            <w:shd w:val="clear" w:color="auto" w:fill="auto"/>
          </w:tcPr>
          <w:p w14:paraId="707EAF57" w14:textId="77777777" w:rsidR="00751A4A" w:rsidRPr="002B1C6F" w:rsidRDefault="00187494" w:rsidP="0010095E">
            <w:pPr>
              <w:pStyle w:val="EPLogo"/>
            </w:pPr>
            <w:r w:rsidRPr="002B1C6F">
              <w:rPr>
                <w:noProof/>
                <w:lang w:eastAsia="ja-JP"/>
              </w:rPr>
              <w:drawing>
                <wp:inline distT="0" distB="0" distL="0" distR="0" wp14:anchorId="31BAF475" wp14:editId="6C4105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8D8F5D" w14:textId="77777777" w:rsidR="00D058B8" w:rsidRPr="002B1C6F" w:rsidRDefault="00D058B8" w:rsidP="004C5D52">
      <w:pPr>
        <w:pStyle w:val="LineTop"/>
      </w:pPr>
    </w:p>
    <w:p w14:paraId="40C1A8C5" w14:textId="60551BD9" w:rsidR="00680577" w:rsidRPr="002B1C6F" w:rsidRDefault="0099716F" w:rsidP="00680577">
      <w:pPr>
        <w:pStyle w:val="EPBodyTA1"/>
      </w:pPr>
      <w:r w:rsidRPr="002B1C6F">
        <w:t>TEXTE ADOPTATE</w:t>
      </w:r>
    </w:p>
    <w:p w14:paraId="60745A11" w14:textId="77777777" w:rsidR="00D058B8" w:rsidRPr="002B1C6F" w:rsidRDefault="00D058B8" w:rsidP="00D058B8">
      <w:pPr>
        <w:pStyle w:val="LineBottom"/>
      </w:pPr>
    </w:p>
    <w:p w14:paraId="00B1B0E6" w14:textId="0DDFA3D3" w:rsidR="0099716F" w:rsidRPr="002B1C6F" w:rsidRDefault="0099716F" w:rsidP="0099716F">
      <w:pPr>
        <w:pStyle w:val="ATHeading1"/>
      </w:pPr>
      <w:bookmarkStart w:id="0" w:name="TANumber"/>
      <w:r w:rsidRPr="002B1C6F">
        <w:t>P10_TA(2026)</w:t>
      </w:r>
      <w:bookmarkEnd w:id="0"/>
      <w:r w:rsidR="002B1C6F" w:rsidRPr="002B1C6F">
        <w:t>0103</w:t>
      </w:r>
    </w:p>
    <w:p w14:paraId="2C7F9EDB" w14:textId="579C8D06" w:rsidR="0099716F" w:rsidRPr="002B1C6F" w:rsidRDefault="0099716F" w:rsidP="0099716F">
      <w:pPr>
        <w:pStyle w:val="ATHeading2"/>
      </w:pPr>
      <w:bookmarkStart w:id="1" w:name="title"/>
      <w:r w:rsidRPr="002B1C6F">
        <w:t xml:space="preserve">Mobilizarea Fondului european de ajustare la globalizare pentru lucrătorii disponibilizați: cererea </w:t>
      </w:r>
      <w:r w:rsidR="007B2F78" w:rsidRPr="002B1C6F">
        <w:t>EGF</w:t>
      </w:r>
      <w:r w:rsidRPr="002B1C6F">
        <w:t>/2025/005 AT/KTM - Austria</w:t>
      </w:r>
      <w:bookmarkEnd w:id="1"/>
    </w:p>
    <w:p w14:paraId="61FFA4AC" w14:textId="5A644B51" w:rsidR="0099716F" w:rsidRPr="002B1C6F" w:rsidRDefault="0099716F" w:rsidP="0099716F">
      <w:pPr>
        <w:rPr>
          <w:i/>
          <w:vanish/>
        </w:rPr>
      </w:pPr>
      <w:r w:rsidRPr="002B1C6F">
        <w:rPr>
          <w:i/>
        </w:rPr>
        <w:fldChar w:fldCharType="begin"/>
      </w:r>
      <w:r w:rsidRPr="002B1C6F">
        <w:rPr>
          <w:i/>
        </w:rPr>
        <w:instrText xml:space="preserve"> TC"(</w:instrText>
      </w:r>
      <w:bookmarkStart w:id="2" w:name="DocNumber"/>
      <w:r w:rsidRPr="002B1C6F">
        <w:rPr>
          <w:i/>
        </w:rPr>
        <w:instrText>A10-0060/2026</w:instrText>
      </w:r>
      <w:bookmarkEnd w:id="2"/>
      <w:r w:rsidRPr="002B1C6F">
        <w:rPr>
          <w:i/>
        </w:rPr>
        <w:instrText xml:space="preserve"> - Raportor: Janusz Lewandowski )"\l3 \n&gt; \* MERGEFORMAT </w:instrText>
      </w:r>
      <w:r w:rsidRPr="002B1C6F">
        <w:rPr>
          <w:i/>
        </w:rPr>
        <w:fldChar w:fldCharType="end"/>
      </w:r>
    </w:p>
    <w:p w14:paraId="2E980178" w14:textId="77777777" w:rsidR="0099716F" w:rsidRPr="002B1C6F" w:rsidRDefault="0099716F" w:rsidP="0099716F">
      <w:pPr>
        <w:rPr>
          <w:vanish/>
        </w:rPr>
      </w:pPr>
      <w:bookmarkStart w:id="3" w:name="Commission"/>
      <w:r w:rsidRPr="002B1C6F">
        <w:rPr>
          <w:vanish/>
        </w:rPr>
        <w:t>Comisia pentru bugete</w:t>
      </w:r>
      <w:bookmarkEnd w:id="3"/>
    </w:p>
    <w:p w14:paraId="50DBAE12" w14:textId="0372DAC6" w:rsidR="0099716F" w:rsidRPr="002B1C6F" w:rsidRDefault="0099716F" w:rsidP="0099716F">
      <w:pPr>
        <w:rPr>
          <w:vanish/>
        </w:rPr>
      </w:pPr>
      <w:bookmarkStart w:id="4" w:name="PE"/>
      <w:r w:rsidRPr="002B1C6F">
        <w:rPr>
          <w:vanish/>
        </w:rPr>
        <w:t>PE784.472</w:t>
      </w:r>
      <w:bookmarkEnd w:id="4"/>
    </w:p>
    <w:p w14:paraId="3B6D2F66" w14:textId="77777777" w:rsidR="0099716F" w:rsidRPr="002B1C6F" w:rsidRDefault="0099716F" w:rsidP="0099716F">
      <w:pPr>
        <w:pStyle w:val="ATHeading3"/>
      </w:pPr>
      <w:bookmarkStart w:id="5" w:name="Sujet"/>
      <w:r w:rsidRPr="002B1C6F">
        <w:t>Rezoluția Parlamentului European din 26 martie 2026 referitoare la propunerea de decizie a Parlamentului European și a Consiliului privind mobilizarea Fondului european de ajustare la globalizare pentru lucrătorii disponibilizați în urma unei cereri din partea Austriei – EGF/2025/005 AT/KTM</w:t>
      </w:r>
      <w:bookmarkEnd w:id="5"/>
      <w:r w:rsidRPr="002B1C6F">
        <w:t xml:space="preserve"> </w:t>
      </w:r>
      <w:bookmarkStart w:id="6" w:name="References"/>
      <w:r w:rsidRPr="002B1C6F">
        <w:t>(COM(2026)0010 – C10-0026/2026 – 2026/0037(BUD))</w:t>
      </w:r>
      <w:bookmarkEnd w:id="6"/>
    </w:p>
    <w:p w14:paraId="65888912" w14:textId="77777777" w:rsidR="00061A2B" w:rsidRPr="002B1C6F" w:rsidRDefault="00061A2B" w:rsidP="00061A2B">
      <w:pPr>
        <w:pStyle w:val="EPComma"/>
        <w:rPr>
          <w:noProof/>
        </w:rPr>
      </w:pPr>
      <w:r w:rsidRPr="002B1C6F">
        <w:rPr>
          <w:i/>
          <w:iCs/>
        </w:rPr>
        <w:t>Parlamentul European</w:t>
      </w:r>
      <w:r w:rsidRPr="002B1C6F">
        <w:t>,</w:t>
      </w:r>
    </w:p>
    <w:p w14:paraId="41FF538D" w14:textId="77777777" w:rsidR="00061A2B" w:rsidRPr="002B1C6F" w:rsidRDefault="00061A2B" w:rsidP="00061A2B">
      <w:pPr>
        <w:pStyle w:val="NormalHanging12a"/>
        <w:rPr>
          <w:noProof/>
        </w:rPr>
      </w:pPr>
      <w:r w:rsidRPr="002B1C6F">
        <w:t>–</w:t>
      </w:r>
      <w:r w:rsidRPr="002B1C6F">
        <w:tab/>
        <w:t>având în vedere propunerea Comisiei prezentată Parlamentului European și Consiliului (COM(2026)0010 – C10</w:t>
      </w:r>
      <w:r w:rsidRPr="002B1C6F">
        <w:noBreakHyphen/>
        <w:t>0026/2026),</w:t>
      </w:r>
    </w:p>
    <w:p w14:paraId="7B352428" w14:textId="77777777" w:rsidR="00061A2B" w:rsidRPr="002B1C6F" w:rsidRDefault="00061A2B" w:rsidP="00061A2B">
      <w:pPr>
        <w:pStyle w:val="NormalHanging12a"/>
        <w:rPr>
          <w:noProof/>
        </w:rPr>
      </w:pPr>
      <w:r w:rsidRPr="002B1C6F">
        <w:t>–</w:t>
      </w:r>
      <w:r w:rsidRPr="002B1C6F">
        <w:tab/>
        <w:t>având în vedere Regulamentul (UE) 2021/691 al Parlamentului European și al Consiliului din 28 aprilie 2021 privind Fondul european de ajustare la globalizare pentru lucrătorii disponibilizați (FEG) și de abrogare a Regulamentului (UE) nr. 1309/2013</w:t>
      </w:r>
      <w:r w:rsidRPr="002B1C6F">
        <w:rPr>
          <w:noProof/>
          <w:vertAlign w:val="superscript"/>
        </w:rPr>
        <w:footnoteReference w:id="1"/>
      </w:r>
      <w:r w:rsidRPr="002B1C6F">
        <w:t xml:space="preserve"> (denumit în continuare „Regulamentul privind FEG”), </w:t>
      </w:r>
    </w:p>
    <w:p w14:paraId="40B90DDD" w14:textId="77777777" w:rsidR="00061A2B" w:rsidRPr="002B1C6F" w:rsidRDefault="00061A2B" w:rsidP="00061A2B">
      <w:pPr>
        <w:pStyle w:val="NormalHanging12a"/>
        <w:rPr>
          <w:noProof/>
        </w:rPr>
      </w:pPr>
      <w:r w:rsidRPr="002B1C6F">
        <w:t>–</w:t>
      </w:r>
      <w:r w:rsidRPr="002B1C6F">
        <w:tab/>
        <w:t>având în vedere Regulamentul (UE, Euratom) 2020/2093 al Consiliului din 17 decembrie 2020 de stabilire a cadrului financiar multianual pentru perioada 2021-2027</w:t>
      </w:r>
      <w:r w:rsidRPr="002B1C6F">
        <w:rPr>
          <w:noProof/>
          <w:vertAlign w:val="superscript"/>
        </w:rPr>
        <w:footnoteReference w:id="2"/>
      </w:r>
      <w:r w:rsidRPr="002B1C6F">
        <w:t>, astfel cum a fost modificat prin Regulamentul (UE, Euratom) 2024/765</w:t>
      </w:r>
      <w:r w:rsidRPr="002B1C6F">
        <w:rPr>
          <w:noProof/>
          <w:vertAlign w:val="superscript"/>
        </w:rPr>
        <w:footnoteReference w:id="3"/>
      </w:r>
      <w:r w:rsidRPr="002B1C6F">
        <w:t xml:space="preserve"> (denumit în continuare „Regulamentul privind CFM”), în special articolul 8, </w:t>
      </w:r>
    </w:p>
    <w:p w14:paraId="1655B087" w14:textId="77777777" w:rsidR="00061A2B" w:rsidRPr="002B1C6F" w:rsidRDefault="00061A2B" w:rsidP="00061A2B">
      <w:pPr>
        <w:pStyle w:val="NormalHanging12a"/>
        <w:rPr>
          <w:noProof/>
        </w:rPr>
      </w:pPr>
      <w:r w:rsidRPr="002B1C6F">
        <w:t>–</w:t>
      </w:r>
      <w:r w:rsidRPr="002B1C6F">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2B1C6F">
        <w:lastRenderedPageBreak/>
        <w:t>proprii</w:t>
      </w:r>
      <w:r w:rsidRPr="002B1C6F">
        <w:rPr>
          <w:noProof/>
          <w:vertAlign w:val="superscript"/>
        </w:rPr>
        <w:footnoteReference w:id="4"/>
      </w:r>
      <w:r w:rsidRPr="002B1C6F">
        <w:t>, în special punctul 9,</w:t>
      </w:r>
    </w:p>
    <w:p w14:paraId="7061EB54" w14:textId="77777777" w:rsidR="00061A2B" w:rsidRPr="002B1C6F" w:rsidRDefault="00061A2B" w:rsidP="00061A2B">
      <w:pPr>
        <w:pStyle w:val="NormalHanging12a"/>
        <w:rPr>
          <w:noProof/>
        </w:rPr>
      </w:pPr>
      <w:r w:rsidRPr="002B1C6F">
        <w:t>–</w:t>
      </w:r>
      <w:r w:rsidRPr="002B1C6F">
        <w:tab/>
        <w:t>având în vedere Pilonul european al drepturilor sociale,</w:t>
      </w:r>
    </w:p>
    <w:p w14:paraId="778DEFDF" w14:textId="77777777" w:rsidR="00061A2B" w:rsidRPr="002B1C6F" w:rsidRDefault="00061A2B" w:rsidP="00061A2B">
      <w:pPr>
        <w:pStyle w:val="NormalHanging12a"/>
        <w:rPr>
          <w:noProof/>
        </w:rPr>
      </w:pPr>
      <w:r w:rsidRPr="002B1C6F">
        <w:t>–</w:t>
      </w:r>
      <w:r w:rsidRPr="002B1C6F">
        <w:tab/>
        <w:t>având în vedere avizul Comisiei pentru ocuparea forței de muncă și afaceri sociale,</w:t>
      </w:r>
    </w:p>
    <w:p w14:paraId="1B382FAE" w14:textId="77777777" w:rsidR="00061A2B" w:rsidRPr="002B1C6F" w:rsidRDefault="00061A2B" w:rsidP="00061A2B">
      <w:pPr>
        <w:pStyle w:val="NormalHanging12a"/>
        <w:rPr>
          <w:noProof/>
        </w:rPr>
      </w:pPr>
      <w:r w:rsidRPr="002B1C6F">
        <w:t>–</w:t>
      </w:r>
      <w:r w:rsidRPr="002B1C6F">
        <w:tab/>
        <w:t>având în vedere raportul Comisiei pentru bugete (A10-0060/2026),</w:t>
      </w:r>
    </w:p>
    <w:p w14:paraId="5589EED1" w14:textId="77777777" w:rsidR="00061A2B" w:rsidRPr="002B1C6F" w:rsidRDefault="00061A2B" w:rsidP="00061A2B">
      <w:pPr>
        <w:pStyle w:val="NormalHanging12a"/>
        <w:rPr>
          <w:noProof/>
        </w:rPr>
      </w:pPr>
      <w:r w:rsidRPr="002B1C6F">
        <w:t>A.</w:t>
      </w:r>
      <w:r w:rsidRPr="002B1C6F">
        <w:tab/>
        <w:t>întrucât Uniunea a instituit instrumente legislative și bugetare pentru a oferi un sprijin suplimentar lucrătorilor afectați de consecințele unor evenimente și schimbări majore intervenite în structura comerțului internațional și pentru a le acorda asistență în procesul de reintegrare pe piața muncii; întrucât acest ajutor se furnizează sub forma unui sprijin financiar acordat lucrătorilor;</w:t>
      </w:r>
    </w:p>
    <w:p w14:paraId="279BA224" w14:textId="77777777" w:rsidR="00061A2B" w:rsidRPr="002B1C6F" w:rsidRDefault="00061A2B" w:rsidP="00061A2B">
      <w:pPr>
        <w:pStyle w:val="NormalHanging12a"/>
        <w:rPr>
          <w:noProof/>
        </w:rPr>
      </w:pPr>
      <w:r w:rsidRPr="002B1C6F">
        <w:t>B.</w:t>
      </w:r>
      <w:r w:rsidRPr="002B1C6F">
        <w:tab/>
        <w:t>întrucât Austria a depus cererea EGF/2025/005 AT/KTM pentru a obține o contribuție financiară din partea FEG ca urmare a disponibilizării a 1 488 de persoane</w:t>
      </w:r>
      <w:r w:rsidRPr="002B1C6F">
        <w:rPr>
          <w:noProof/>
          <w:vertAlign w:val="superscript"/>
        </w:rPr>
        <w:footnoteReference w:id="5"/>
      </w:r>
      <w:r w:rsidRPr="002B1C6F">
        <w:t xml:space="preserve"> de la KTM </w:t>
      </w:r>
      <w:proofErr w:type="spellStart"/>
      <w:r w:rsidRPr="002B1C6F">
        <w:t>Gruppe</w:t>
      </w:r>
      <w:proofErr w:type="spellEnd"/>
      <w:r w:rsidRPr="002B1C6F">
        <w:t xml:space="preserve"> (KTM), în sectorul economic încadrat în NACE Rev. 2 diviziunea 30 (Fabricarea altor echipamente de transport), în regiunea Austria Superioară (AT31), 233 de persoane fiind disponibilizate într-o perioadă de referință cuprinsă între 25 februarie 2025 și 25 iunie 2025, iar 1 255 de persoane fiind disponibilizate înainte sau după perioada de referință; </w:t>
      </w:r>
    </w:p>
    <w:p w14:paraId="18A80D3B" w14:textId="77777777" w:rsidR="00061A2B" w:rsidRPr="002B1C6F" w:rsidRDefault="00061A2B" w:rsidP="00061A2B">
      <w:pPr>
        <w:pStyle w:val="NormalHanging12a"/>
        <w:rPr>
          <w:noProof/>
        </w:rPr>
      </w:pPr>
      <w:r w:rsidRPr="002B1C6F">
        <w:t>C.</w:t>
      </w:r>
      <w:r w:rsidRPr="002B1C6F">
        <w:tab/>
        <w:t>întrucât cererea se bazează pe criteriile de intervenție stabilite la articolul 4 alineatul (2) litera (a) din Regulamentul privind FEG, care prevăd condiția de încetare a activității a cel puțin 200 de lucrători sau lucrători independenți disponibilizați într-o perioadă de referință de patru luni într-o întreprindere dintr-un stat membru; întrucât pentru cei 1 255 de lucrători disponibilizați a căror activitate a încetat înainte sau după perioada de referință de patru luni, se poate stabili o legătură clară de cauzalitate cu evenimentul care a declanșat încetarea activității lucrătorilor disponibilizați în cursul perioadei de referință, astfel cum se prevede la articolul 6 alineatul (2) din Regulamentul privind FEG;</w:t>
      </w:r>
    </w:p>
    <w:p w14:paraId="02105539" w14:textId="77777777" w:rsidR="00061A2B" w:rsidRPr="002B1C6F" w:rsidRDefault="00061A2B" w:rsidP="00061A2B">
      <w:pPr>
        <w:pStyle w:val="NormalHanging12a"/>
        <w:rPr>
          <w:noProof/>
        </w:rPr>
      </w:pPr>
      <w:r w:rsidRPr="002B1C6F">
        <w:t>D.</w:t>
      </w:r>
      <w:r w:rsidRPr="002B1C6F">
        <w:tab/>
        <w:t>întrucât KTM a solicitat intrarea în insolvență la 29 noiembrie 2024, iar la 25 februarie 2025 a fost aprobat un plan de restructurare; întrucât anumite decizii ale întreprinderii cu privire la distribuirea dividendelor în 2021 și 2024, beneficiind în același timp de ajutoare de stat în timpul pandemiei de COVID-19, ridică semne de întrebare;</w:t>
      </w:r>
    </w:p>
    <w:p w14:paraId="47A21571" w14:textId="77777777" w:rsidR="00061A2B" w:rsidRPr="002B1C6F" w:rsidRDefault="00061A2B" w:rsidP="00061A2B">
      <w:pPr>
        <w:pStyle w:val="NormalHanging12a"/>
        <w:rPr>
          <w:noProof/>
        </w:rPr>
      </w:pPr>
      <w:r w:rsidRPr="002B1C6F">
        <w:t>E.</w:t>
      </w:r>
      <w:r w:rsidRPr="002B1C6F">
        <w:tab/>
        <w:t xml:space="preserve">întrucât Austria a indicat că Serviciul public de ocupare a forței de muncă din Austria Superioară și provincia Austria Superioară asigură </w:t>
      </w:r>
      <w:proofErr w:type="spellStart"/>
      <w:r w:rsidRPr="002B1C6F">
        <w:t>prefinanțarea</w:t>
      </w:r>
      <w:proofErr w:type="spellEnd"/>
      <w:r w:rsidRPr="002B1C6F">
        <w:t xml:space="preserve"> și cofinanțarea măsurilor la nivel național;</w:t>
      </w:r>
    </w:p>
    <w:p w14:paraId="301D7090" w14:textId="77777777" w:rsidR="00061A2B" w:rsidRPr="002B1C6F" w:rsidRDefault="00061A2B" w:rsidP="00061A2B">
      <w:pPr>
        <w:pStyle w:val="NormalHanging12a"/>
        <w:rPr>
          <w:noProof/>
        </w:rPr>
      </w:pPr>
      <w:r w:rsidRPr="002B1C6F">
        <w:t>F.</w:t>
      </w:r>
      <w:r w:rsidRPr="002B1C6F">
        <w:tab/>
        <w:t>întrucât au fost îndeplinite cerințele prevăzute de legislația națională și de legislația Uniunii în ceea ce privește concedierile colective;</w:t>
      </w:r>
    </w:p>
    <w:p w14:paraId="74740CFD" w14:textId="77777777" w:rsidR="00061A2B" w:rsidRPr="002B1C6F" w:rsidRDefault="00061A2B" w:rsidP="00061A2B">
      <w:pPr>
        <w:pStyle w:val="NormalHanging12a"/>
        <w:rPr>
          <w:noProof/>
        </w:rPr>
      </w:pPr>
      <w:r w:rsidRPr="002B1C6F">
        <w:t>G.</w:t>
      </w:r>
      <w:r w:rsidRPr="002B1C6F">
        <w:tab/>
        <w:t xml:space="preserve">întrucât contribuțiile financiare din FEG ar trebui să fie canalizate în primul rând spre măsuri de politică active pe piața muncii și spre servicii personalizate menite să-i reintegreze rapid pe beneficiari pe piața muncii, oferindu‑le totodată formare pentru dobândirea de competențe, pentru a le facilita accesul pe viitoarea piață a muncii și a-i </w:t>
      </w:r>
      <w:r w:rsidRPr="002B1C6F">
        <w:lastRenderedPageBreak/>
        <w:t>pregăti pentru tranziția verde și tranziția digitală;</w:t>
      </w:r>
    </w:p>
    <w:p w14:paraId="23234D75" w14:textId="77777777" w:rsidR="00061A2B" w:rsidRPr="002B1C6F" w:rsidRDefault="00061A2B" w:rsidP="00061A2B">
      <w:pPr>
        <w:pStyle w:val="NormalHanging12a"/>
        <w:rPr>
          <w:noProof/>
        </w:rPr>
      </w:pPr>
      <w:r w:rsidRPr="002B1C6F">
        <w:t>H.</w:t>
      </w:r>
      <w:r w:rsidRPr="002B1C6F">
        <w:tab/>
        <w:t>întrucât FEG nu trebuie să depășească un cuantum anual de maximum 30 de milioane EUR (la prețurile din 2018)</w:t>
      </w:r>
      <w:r w:rsidRPr="002B1C6F">
        <w:rPr>
          <w:noProof/>
          <w:vertAlign w:val="superscript"/>
        </w:rPr>
        <w:footnoteReference w:id="6"/>
      </w:r>
      <w:r w:rsidRPr="002B1C6F">
        <w:t>;</w:t>
      </w:r>
    </w:p>
    <w:p w14:paraId="1C5F4B9C" w14:textId="77777777" w:rsidR="00061A2B" w:rsidRPr="002B1C6F" w:rsidRDefault="00061A2B" w:rsidP="00061A2B">
      <w:pPr>
        <w:pStyle w:val="NormalHanging12a"/>
        <w:rPr>
          <w:bCs/>
          <w:iCs/>
          <w:noProof/>
        </w:rPr>
      </w:pPr>
      <w:r w:rsidRPr="002B1C6F">
        <w:t>I.</w:t>
      </w:r>
      <w:r w:rsidRPr="002B1C6F">
        <w:tab/>
        <w:t>întrucât relocările recente ale activităților de producție în afara Uniunii evidențiază necesitatea de a consolida competitivitatea și reziliența industriei europene pe piața mondială,</w:t>
      </w:r>
    </w:p>
    <w:p w14:paraId="6C085FED" w14:textId="77777777" w:rsidR="00061A2B" w:rsidRPr="002B1C6F" w:rsidRDefault="00061A2B" w:rsidP="00061A2B">
      <w:pPr>
        <w:pStyle w:val="NormalHanging12a"/>
        <w:rPr>
          <w:noProof/>
        </w:rPr>
      </w:pPr>
      <w:r w:rsidRPr="002B1C6F">
        <w:t>1.</w:t>
      </w:r>
      <w:r w:rsidRPr="002B1C6F">
        <w:tab/>
        <w:t>este de acord cu Comisia că sunt îndeplinite condițiile prevăzute în Regulamentul privind FEG, în special cele de la articolul 4 alineatul (2) litera (a) din acesta, și că Austria are dreptul la o contribuție financiară în valoare de 1 806 624 EUR în temeiul regulamentului respectiv, ceea ce reprezintă 60 % din costul total de 3 011 040 EUR, compus din cheltuieli pentru servicii personalizate în valoare de 2 895 120 EUR și cheltuieli pentru activități de pregătire, gestionare, informare și publicitate, control și raportare în valoare de 115 920 EUR;</w:t>
      </w:r>
    </w:p>
    <w:p w14:paraId="1854F9BE" w14:textId="047E4A63" w:rsidR="00061A2B" w:rsidRPr="002B1C6F" w:rsidRDefault="00061A2B" w:rsidP="00061A2B">
      <w:pPr>
        <w:pStyle w:val="NormalHanging12a"/>
        <w:rPr>
          <w:noProof/>
        </w:rPr>
      </w:pPr>
      <w:r w:rsidRPr="002B1C6F">
        <w:t>2.</w:t>
      </w:r>
      <w:r w:rsidRPr="002B1C6F">
        <w:tab/>
        <w:t xml:space="preserve">constată că autoritățile austriece au depus cererea la 15 septembrie 2025 și că, după primirea de informații suplimentare din partea Austriei, Comisia și-a finalizat evaluarea la 6 februarie 2026 și a notificat-o Parlamentului la 11 februarie 2026; accentuează că este important să se scurteze intervalul de timp dintre depunerea unei cereri de asistență din partea FEG și decizia de finanțare, garantând totodată pe deplin drepturile Parlamentului European în calitate de componentă a autorității bugetare; </w:t>
      </w:r>
    </w:p>
    <w:p w14:paraId="0EFD9E35" w14:textId="77777777" w:rsidR="00061A2B" w:rsidRPr="002B1C6F" w:rsidRDefault="00061A2B" w:rsidP="00061A2B">
      <w:pPr>
        <w:pStyle w:val="NormalHanging12a"/>
        <w:rPr>
          <w:noProof/>
        </w:rPr>
      </w:pPr>
      <w:r w:rsidRPr="002B1C6F">
        <w:t>3.</w:t>
      </w:r>
      <w:r w:rsidRPr="002B1C6F">
        <w:tab/>
        <w:t>constată că cererea se referă la 1 488 de lucrători afectați de procedurile de insolvență ale KTM, care au fost cele mai ample care au avut loc vreodată în Austria Superioară; constată, de asemenea, că numărul total de beneficiari vizați care se preconizează că vor participa la măsuri este de 420 de lucrători disponibilizați;</w:t>
      </w:r>
    </w:p>
    <w:p w14:paraId="32AB02DD" w14:textId="7BF85841" w:rsidR="00061A2B" w:rsidRPr="002B1C6F" w:rsidRDefault="00061A2B" w:rsidP="00061A2B">
      <w:pPr>
        <w:pStyle w:val="NormalHanging12a"/>
        <w:rPr>
          <w:noProof/>
        </w:rPr>
      </w:pPr>
      <w:r w:rsidRPr="002B1C6F">
        <w:t>4.</w:t>
      </w:r>
      <w:r w:rsidRPr="002B1C6F">
        <w:tab/>
        <w:t xml:space="preserve">constată că KTM era cel mai mare producător de motociclete din Uniune și cea mai mare filială a </w:t>
      </w:r>
      <w:proofErr w:type="spellStart"/>
      <w:r w:rsidRPr="002B1C6F">
        <w:t>Pierer</w:t>
      </w:r>
      <w:proofErr w:type="spellEnd"/>
      <w:r w:rsidRPr="002B1C6F">
        <w:t xml:space="preserve"> </w:t>
      </w:r>
      <w:proofErr w:type="spellStart"/>
      <w:r w:rsidRPr="002B1C6F">
        <w:t>Mobility</w:t>
      </w:r>
      <w:proofErr w:type="spellEnd"/>
      <w:r w:rsidRPr="002B1C6F">
        <w:t xml:space="preserve"> AG; regretă că societatea-mamă a decis să transfere producția în China și India în decembrie 2023, din cauza condițiilor de concurență inechitabile; constată că acest lucru a dus la eliminarea inițială a 300 de posturi și că scăderea ulterioară a vânzărilor a determinat KTM să pună în aplicare măsuri de reducere a costurilor, inclusiv </w:t>
      </w:r>
      <w:r w:rsidR="00C9276A" w:rsidRPr="002B1C6F">
        <w:t xml:space="preserve">trimiterea în șomaj tehnic </w:t>
      </w:r>
      <w:r w:rsidRPr="002B1C6F">
        <w:t>a peste 500 de angajați în cursul anului 2024;</w:t>
      </w:r>
    </w:p>
    <w:p w14:paraId="6599A72F" w14:textId="77777777" w:rsidR="00061A2B" w:rsidRPr="002B1C6F" w:rsidRDefault="00061A2B" w:rsidP="00061A2B">
      <w:pPr>
        <w:pStyle w:val="NormalHanging12a"/>
        <w:rPr>
          <w:noProof/>
        </w:rPr>
      </w:pPr>
      <w:r w:rsidRPr="002B1C6F">
        <w:t>5.</w:t>
      </w:r>
      <w:r w:rsidRPr="002B1C6F">
        <w:tab/>
        <w:t xml:space="preserve">constată că societatea-mamă a trebuit să înceapă un proces de restructurare și că, în timpul primei opriri a producției societății KTM în 2025, au fost concediați alți peste 750 de angajați; constată că investitorul </w:t>
      </w:r>
      <w:proofErr w:type="spellStart"/>
      <w:r w:rsidRPr="002B1C6F">
        <w:t>Bajaj</w:t>
      </w:r>
      <w:proofErr w:type="spellEnd"/>
      <w:r w:rsidRPr="002B1C6F">
        <w:t xml:space="preserve"> Auto International Holdings B.V. a furnizat la 22 mai 2025 resursele necesare pentru a asigura continuarea activității societății KTM, pentru a evita falimentul acesteia și a permite reluarea producției în iulie 2025, odată cu reducerea cheltuielilor;</w:t>
      </w:r>
    </w:p>
    <w:p w14:paraId="52AF9A2D" w14:textId="77777777" w:rsidR="00061A2B" w:rsidRPr="002B1C6F" w:rsidRDefault="00061A2B" w:rsidP="00061A2B">
      <w:pPr>
        <w:pStyle w:val="NormalHanging12a"/>
        <w:rPr>
          <w:noProof/>
        </w:rPr>
      </w:pPr>
      <w:r w:rsidRPr="002B1C6F">
        <w:t>6.</w:t>
      </w:r>
      <w:r w:rsidRPr="002B1C6F">
        <w:tab/>
        <w:t xml:space="preserve">constată că KTM a fost în trecut una dintre cele mai de succes mărci de motociclete din Europa, un angajator important și un pilon economic esențial pentru mulți furnizori din districtul </w:t>
      </w:r>
      <w:proofErr w:type="spellStart"/>
      <w:r w:rsidRPr="002B1C6F">
        <w:t>Braunau</w:t>
      </w:r>
      <w:proofErr w:type="spellEnd"/>
      <w:r w:rsidRPr="002B1C6F">
        <w:t xml:space="preserve"> din Austria Superioară; observă că, în consecință, șomajul în acest district a crescut cu 37,1 % în noiembrie 2024, comparativ cu aceeași lună a anului precedent; constată că șomajul a atins un nivel record în districtul </w:t>
      </w:r>
      <w:proofErr w:type="spellStart"/>
      <w:r w:rsidRPr="002B1C6F">
        <w:t>Braunau</w:t>
      </w:r>
      <w:proofErr w:type="spellEnd"/>
      <w:r w:rsidRPr="002B1C6F">
        <w:t xml:space="preserve"> în 2025; </w:t>
      </w:r>
    </w:p>
    <w:p w14:paraId="35BAA3F7" w14:textId="77777777" w:rsidR="00061A2B" w:rsidRPr="002B1C6F" w:rsidRDefault="00061A2B" w:rsidP="00061A2B">
      <w:pPr>
        <w:pStyle w:val="NormalHanging12a"/>
        <w:rPr>
          <w:noProof/>
        </w:rPr>
      </w:pPr>
      <w:r w:rsidRPr="002B1C6F">
        <w:lastRenderedPageBreak/>
        <w:t>7.</w:t>
      </w:r>
      <w:r w:rsidRPr="002B1C6F">
        <w:tab/>
        <w:t xml:space="preserve">reamintește că serviciile personalizate care urmează să fie furnizate lucrătorilor, stabilite de comun acord cu partenerii sociali, constau în următoarele măsuri: administrarea cazului, consiliere și orientare profesională, formare și recalificare, căutarea </w:t>
      </w:r>
      <w:proofErr w:type="spellStart"/>
      <w:r w:rsidRPr="002B1C6F">
        <w:t>proactivă</w:t>
      </w:r>
      <w:proofErr w:type="spellEnd"/>
      <w:r w:rsidRPr="002B1C6F">
        <w:t xml:space="preserve"> a unui loc de muncă, indemnizații pentru formare profesională; evidențiază că este important să se promoveze locuri de muncă de înaltă calitate, orientate spre viitor, pentru a se asigura reziliența economică și socială pe termen lung; accentuează importanța unei cooperări strânse cu întreprinderile și angajatorii regionali pentru a garanta că programele de formare și recalificare răspund nevoilor concrete de pe piața muncii și facilitează reintegrarea rapidă a lucrătorilor disponibilizați;</w:t>
      </w:r>
    </w:p>
    <w:p w14:paraId="5430F89F" w14:textId="77777777" w:rsidR="00061A2B" w:rsidRPr="002B1C6F" w:rsidRDefault="00061A2B" w:rsidP="00061A2B">
      <w:pPr>
        <w:pStyle w:val="NormalHanging12a"/>
        <w:rPr>
          <w:bCs/>
          <w:iCs/>
          <w:noProof/>
        </w:rPr>
      </w:pPr>
      <w:r w:rsidRPr="002B1C6F">
        <w:t>8.</w:t>
      </w:r>
      <w:r w:rsidRPr="002B1C6F">
        <w:tab/>
        <w:t xml:space="preserve">reamintește că FEG este un instrument pentru solidaritate și tranziție justă și, deși oferă sprijin în urma pierderii locurilor de muncă, nu poate înlocui o politică industrială </w:t>
      </w:r>
      <w:proofErr w:type="spellStart"/>
      <w:r w:rsidRPr="002B1C6F">
        <w:t>proactivă</w:t>
      </w:r>
      <w:proofErr w:type="spellEnd"/>
      <w:r w:rsidRPr="002B1C6F">
        <w:t>; accentuează că principala sarcină a Uniunii trebuie să fie prevenirea unor astfel de închideri de la bun început, prin crearea condițiilor necesare pentru ca producția industrială să rămână competitivă, investind totodată în dezvoltarea competențelor, atât ale lucrătorilor înalt calificați, cât și ale celor din sectorul industrial; subliniază că este nevoie să se ofere sprijin specific adaptat profilurilor lucrătorilor cu niveluri scăzute de educație, luând, în același timp, măsuri pentru a reduce falimentele și a remedia disparitățile sociale care conduc la excluderea de pe piața muncii;</w:t>
      </w:r>
    </w:p>
    <w:p w14:paraId="75BEC6F2" w14:textId="77777777" w:rsidR="00061A2B" w:rsidRPr="002B1C6F" w:rsidRDefault="00061A2B" w:rsidP="00061A2B">
      <w:pPr>
        <w:pStyle w:val="NormalHanging12a"/>
        <w:rPr>
          <w:bCs/>
          <w:iCs/>
          <w:noProof/>
        </w:rPr>
      </w:pPr>
      <w:r w:rsidRPr="002B1C6F">
        <w:t>9.</w:t>
      </w:r>
      <w:r w:rsidRPr="002B1C6F">
        <w:tab/>
        <w:t>accentuează că autoritățile austriece trebuie să asigure vizibilitatea finanțării din partea Uniunii și să evidențieze valoarea adăugată a acesteia, furnizând informații eficiente și specifice beneficiarilor, autorităților regionale și locale, partenerilor sociali și publicului larg;</w:t>
      </w:r>
    </w:p>
    <w:p w14:paraId="32E3344A" w14:textId="77777777" w:rsidR="00061A2B" w:rsidRPr="002B1C6F" w:rsidRDefault="00061A2B" w:rsidP="00061A2B">
      <w:pPr>
        <w:pStyle w:val="NormalHanging12a"/>
        <w:rPr>
          <w:noProof/>
        </w:rPr>
      </w:pPr>
      <w:r w:rsidRPr="002B1C6F">
        <w:t>10.</w:t>
      </w:r>
      <w:r w:rsidRPr="002B1C6F">
        <w:tab/>
        <w:t>solicită evaluări finale aprofundate ale măsurilor aplicate, inclusiv informații clare care să precizeze cum au fost utilizate fondurile și dacă acestea au fost cheltuite în conformitate cu planurile aprobate;</w:t>
      </w:r>
    </w:p>
    <w:p w14:paraId="5159D6D2" w14:textId="77777777" w:rsidR="00061A2B" w:rsidRPr="002B1C6F" w:rsidRDefault="00061A2B" w:rsidP="00061A2B">
      <w:pPr>
        <w:pStyle w:val="NormalHanging12a"/>
        <w:rPr>
          <w:noProof/>
        </w:rPr>
      </w:pPr>
      <w:r w:rsidRPr="002B1C6F">
        <w:t>11.</w:t>
      </w:r>
      <w:r w:rsidRPr="002B1C6F">
        <w:tab/>
        <w:t>constată că Austria a început atât să ofere servicii personalizate beneficiarilor vizați, cât și să suporte cheltuieli administrative pentru a executa măsurile din FEG la 1 martie 2025 și că perioada de eligibilitate pentru o contribuție financiară din FEG va începe așadar la această dată și va dura 24 de luni și, respectiv, 31 de luni de la data intrării în vigoare a deciziei de finanțare;</w:t>
      </w:r>
    </w:p>
    <w:p w14:paraId="7E930B41" w14:textId="77777777" w:rsidR="00061A2B" w:rsidRPr="002B1C6F" w:rsidRDefault="00061A2B" w:rsidP="00061A2B">
      <w:pPr>
        <w:pStyle w:val="NormalHanging12a"/>
        <w:rPr>
          <w:noProof/>
        </w:rPr>
      </w:pPr>
      <w:r w:rsidRPr="002B1C6F">
        <w:t>12.</w:t>
      </w:r>
      <w:r w:rsidRPr="002B1C6F">
        <w:tab/>
        <w:t>observă că autoritățile austriece au dat asigurări că, în ceea ce privește accesul la acțiunile propuse și punerea lor în aplicare, se vor respecta principiile egalității de tratament și nediscriminării și că se va evita orice formă de dublă finanțare;</w:t>
      </w:r>
    </w:p>
    <w:p w14:paraId="6A23BC10" w14:textId="77777777" w:rsidR="00061A2B" w:rsidRPr="002B1C6F" w:rsidRDefault="00061A2B" w:rsidP="00061A2B">
      <w:pPr>
        <w:pStyle w:val="NormalHanging12a"/>
        <w:rPr>
          <w:noProof/>
        </w:rPr>
      </w:pPr>
      <w:r w:rsidRPr="002B1C6F">
        <w:t>13.</w:t>
      </w:r>
      <w:r w:rsidRPr="002B1C6F">
        <w:tab/>
        <w:t>reafirmă că asistența din partea FEG nu trebuie să înlocuiască acțiunile care intră în responsabilitatea întreprinderilor, în temeiul legislației naționale sau al acordurilor colective;</w:t>
      </w:r>
    </w:p>
    <w:p w14:paraId="77F2B0F6" w14:textId="77777777" w:rsidR="00061A2B" w:rsidRPr="002B1C6F" w:rsidRDefault="00061A2B" w:rsidP="00061A2B">
      <w:pPr>
        <w:pStyle w:val="NormalHanging12a"/>
        <w:rPr>
          <w:noProof/>
        </w:rPr>
      </w:pPr>
      <w:r w:rsidRPr="002B1C6F">
        <w:t>14.</w:t>
      </w:r>
      <w:r w:rsidRPr="002B1C6F">
        <w:tab/>
        <w:t>aprobă decizia anexată la prezenta rezoluție;</w:t>
      </w:r>
    </w:p>
    <w:p w14:paraId="347BD6F0" w14:textId="2B1871BD" w:rsidR="00061A2B" w:rsidRPr="002B1C6F" w:rsidRDefault="00061A2B" w:rsidP="00061A2B">
      <w:pPr>
        <w:pStyle w:val="NormalHanging12a"/>
        <w:rPr>
          <w:noProof/>
        </w:rPr>
      </w:pPr>
      <w:r w:rsidRPr="002B1C6F">
        <w:t>15.</w:t>
      </w:r>
      <w:r w:rsidRPr="002B1C6F">
        <w:tab/>
        <w:t>încredințează Președintei sarcina de a semna decizi</w:t>
      </w:r>
      <w:r w:rsidR="002E2920" w:rsidRPr="002B1C6F">
        <w:t>a</w:t>
      </w:r>
      <w:r w:rsidRPr="002B1C6F">
        <w:t xml:space="preserve"> împreună cu Președintele Consiliului și de a asigura publicarea sa în </w:t>
      </w:r>
      <w:r w:rsidRPr="002B1C6F">
        <w:rPr>
          <w:i/>
          <w:iCs/>
        </w:rPr>
        <w:t>Jurnalul Oficial al Uniunii Europene</w:t>
      </w:r>
      <w:r w:rsidRPr="002B1C6F">
        <w:t>;</w:t>
      </w:r>
    </w:p>
    <w:p w14:paraId="0DF17B8C" w14:textId="08DDD277" w:rsidR="00061A2B" w:rsidRPr="002B1C6F" w:rsidRDefault="00061A2B" w:rsidP="00061A2B">
      <w:pPr>
        <w:pStyle w:val="NormalHanging12a"/>
        <w:rPr>
          <w:noProof/>
        </w:rPr>
      </w:pPr>
      <w:r w:rsidRPr="002B1C6F">
        <w:t>16.</w:t>
      </w:r>
      <w:r w:rsidRPr="002B1C6F">
        <w:tab/>
        <w:t>încredințează Președintei sarcina de a transmite prezenta rezoluție, împreună cu anexa</w:t>
      </w:r>
      <w:r w:rsidR="002E2920" w:rsidRPr="002B1C6F">
        <w:t xml:space="preserve"> sa</w:t>
      </w:r>
      <w:r w:rsidRPr="002B1C6F">
        <w:t>, Consiliului și Comisiei.</w:t>
      </w:r>
    </w:p>
    <w:p w14:paraId="041D72D8" w14:textId="77777777" w:rsidR="00061A2B" w:rsidRPr="002B1C6F" w:rsidRDefault="00061A2B" w:rsidP="00061A2B">
      <w:pPr>
        <w:rPr>
          <w:noProof/>
        </w:rPr>
      </w:pPr>
    </w:p>
    <w:p w14:paraId="78CB78CB" w14:textId="77777777" w:rsidR="00061A2B" w:rsidRPr="002B1C6F" w:rsidRDefault="00061A2B" w:rsidP="00061A2B">
      <w:pPr>
        <w:pStyle w:val="PageHeading"/>
        <w:rPr>
          <w:noProof/>
        </w:rPr>
        <w:sectPr w:rsidR="00061A2B" w:rsidRPr="002B1C6F" w:rsidSect="00D717B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5B62B2" w14:textId="77777777" w:rsidR="00603D88" w:rsidRDefault="00061A2B" w:rsidP="00061A2B">
      <w:pPr>
        <w:pStyle w:val="PageHeading"/>
      </w:pPr>
      <w:bookmarkStart w:id="7" w:name="_Toc224809945"/>
      <w:r w:rsidRPr="002B1C6F">
        <w:lastRenderedPageBreak/>
        <w:t>ANEXĂ</w:t>
      </w:r>
    </w:p>
    <w:p w14:paraId="30E60A05" w14:textId="2FB1AD8A" w:rsidR="00061A2B" w:rsidRPr="002B1C6F" w:rsidRDefault="00061A2B" w:rsidP="00061A2B">
      <w:pPr>
        <w:pStyle w:val="PageHeading"/>
        <w:rPr>
          <w:noProof/>
        </w:rPr>
      </w:pPr>
      <w:r w:rsidRPr="002B1C6F">
        <w:t xml:space="preserve"> DECIZI</w:t>
      </w:r>
      <w:r w:rsidR="002E2920" w:rsidRPr="002B1C6F">
        <w:t>E A</w:t>
      </w:r>
      <w:r w:rsidRPr="002B1C6F">
        <w:t xml:space="preserve"> PARLAMENULUI EUROPEAN ȘI A CONSILIULUI</w:t>
      </w:r>
      <w:bookmarkEnd w:id="7"/>
    </w:p>
    <w:p w14:paraId="041B287A" w14:textId="77777777" w:rsidR="00061A2B" w:rsidRPr="002B1C6F" w:rsidRDefault="00061A2B" w:rsidP="00061A2B">
      <w:pPr>
        <w:pStyle w:val="Institutionquiagit"/>
        <w:tabs>
          <w:tab w:val="left" w:pos="567"/>
          <w:tab w:val="left" w:pos="1134"/>
        </w:tabs>
        <w:spacing w:after="240" w:line="240" w:lineRule="auto"/>
        <w:jc w:val="center"/>
      </w:pPr>
      <w:bookmarkStart w:id="8" w:name="_Hlk212804276"/>
      <w:bookmarkStart w:id="9" w:name="_Hlk212804598"/>
      <w:r w:rsidRPr="002B1C6F">
        <w:rPr>
          <w:b/>
        </w:rPr>
        <w:t>privind mobilizarea Fondului european de ajustare la globalizare pentru lucrătorii disponibilizați în urma unei cereri din partea Austriei (EGF/2025/005 AT/KTM)</w:t>
      </w:r>
    </w:p>
    <w:bookmarkEnd w:id="8"/>
    <w:bookmarkEnd w:id="9"/>
    <w:p w14:paraId="67F9825B" w14:textId="1BF9DD5B" w:rsidR="00603D88" w:rsidRPr="00272DA5" w:rsidRDefault="00603D88" w:rsidP="00603D88">
      <w:pPr>
        <w:spacing w:before="120"/>
        <w:rPr>
          <w:i/>
          <w:noProof/>
        </w:rPr>
      </w:pPr>
      <w:r w:rsidRPr="00272DA5">
        <w:rPr>
          <w:i/>
          <w:noProof/>
        </w:rPr>
        <w:t xml:space="preserve">(Textul prezentei anexe nu este reprodus aici, întrucât corespunde cu actul final, Decizia </w:t>
      </w:r>
      <w:r w:rsidRPr="00603D88">
        <w:rPr>
          <w:rStyle w:val="ATHeading3Char"/>
          <w:b w:val="0"/>
          <w:bCs/>
          <w:i/>
        </w:rPr>
        <w:t>(UE) 2026/</w:t>
      </w:r>
      <w:r w:rsidRPr="00603D88">
        <w:rPr>
          <w:rStyle w:val="ATHeading3Char"/>
          <w:b w:val="0"/>
          <w:bCs/>
          <w:i/>
        </w:rPr>
        <w:t>850</w:t>
      </w:r>
      <w:r w:rsidRPr="00603D88">
        <w:rPr>
          <w:rStyle w:val="ATHeading3Char"/>
          <w:b w:val="0"/>
          <w:bCs/>
          <w:i/>
        </w:rPr>
        <w:t>.</w:t>
      </w:r>
      <w:r w:rsidRPr="00603D88">
        <w:rPr>
          <w:i/>
          <w:noProof/>
        </w:rPr>
        <w:t>)</w:t>
      </w:r>
    </w:p>
    <w:p w14:paraId="25DBA90A" w14:textId="0D49EC43" w:rsidR="00E365E1" w:rsidRPr="002B1C6F" w:rsidRDefault="00E365E1" w:rsidP="00603D88">
      <w:pPr>
        <w:pStyle w:val="Institutionquiagit"/>
        <w:tabs>
          <w:tab w:val="left" w:pos="567"/>
          <w:tab w:val="left" w:pos="1134"/>
        </w:tabs>
        <w:spacing w:before="0" w:after="240" w:line="240" w:lineRule="auto"/>
      </w:pPr>
    </w:p>
    <w:sectPr w:rsidR="00E365E1" w:rsidRPr="002B1C6F" w:rsidSect="00D717B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21C25" w14:textId="77777777" w:rsidR="0099716F" w:rsidRPr="00D717BC" w:rsidRDefault="0099716F">
      <w:r w:rsidRPr="00D717BC">
        <w:separator/>
      </w:r>
    </w:p>
  </w:endnote>
  <w:endnote w:type="continuationSeparator" w:id="0">
    <w:p w14:paraId="6CD1D0A4" w14:textId="77777777" w:rsidR="0099716F" w:rsidRPr="00D717BC" w:rsidRDefault="0099716F">
      <w:r w:rsidRPr="00D71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0E5F" w14:textId="77777777" w:rsidR="00061A2B" w:rsidRPr="00D717BC" w:rsidRDefault="00061A2B" w:rsidP="00504E10">
    <w:pPr>
      <w:pStyle w:val="EPFooter"/>
    </w:pPr>
    <w:r w:rsidRPr="00D717BC">
      <w:t>PE</w:t>
    </w:r>
    <w:r w:rsidRPr="00D717BC">
      <w:rPr>
        <w:rStyle w:val="HideTWBExt"/>
      </w:rPr>
      <w:t>&lt;NoPE&gt;</w:t>
    </w:r>
    <w:r w:rsidRPr="00D717BC">
      <w:t>784.472</w:t>
    </w:r>
    <w:r w:rsidRPr="00D717BC">
      <w:rPr>
        <w:rStyle w:val="HideTWBExt"/>
      </w:rPr>
      <w:t>&lt;/NoPE&gt;&lt;Version&gt;</w:t>
    </w:r>
    <w:r w:rsidRPr="00D717BC">
      <w:t>v02-00</w:t>
    </w:r>
    <w:r w:rsidRPr="00D717BC">
      <w:rPr>
        <w:rStyle w:val="HideTWBExt"/>
      </w:rPr>
      <w:t>&lt;/Version&gt;</w:t>
    </w:r>
    <w:r w:rsidRPr="00D717BC">
      <w:tab/>
    </w:r>
    <w:r w:rsidRPr="00D717BC">
      <w:fldChar w:fldCharType="begin"/>
    </w:r>
    <w:r w:rsidRPr="00D717BC">
      <w:instrText xml:space="preserve"> PAGE  \* MERGEFORMAT </w:instrText>
    </w:r>
    <w:r w:rsidRPr="00D717BC">
      <w:fldChar w:fldCharType="separate"/>
    </w:r>
    <w:r w:rsidRPr="00D717BC">
      <w:rPr>
        <w:noProof/>
      </w:rPr>
      <w:t>16</w:t>
    </w:r>
    <w:r w:rsidRPr="00D717BC">
      <w:fldChar w:fldCharType="end"/>
    </w:r>
    <w:r w:rsidRPr="00D717BC">
      <w:t>/</w:t>
    </w:r>
    <w:fldSimple w:instr=" NUMPAGES  \* MERGEFORMAT ">
      <w:r w:rsidRPr="00D717BC">
        <w:rPr>
          <w:noProof/>
        </w:rPr>
        <w:t>18</w:t>
      </w:r>
    </w:fldSimple>
    <w:r w:rsidRPr="00D717BC">
      <w:tab/>
    </w:r>
    <w:r w:rsidRPr="00D717BC">
      <w:rPr>
        <w:rStyle w:val="HideTWBExt"/>
      </w:rPr>
      <w:t>&lt;PathFdR&gt;</w:t>
    </w:r>
    <w:r w:rsidRPr="00D717BC">
      <w:t>RR\1339711RO.docx</w:t>
    </w:r>
    <w:r w:rsidRPr="00D717BC">
      <w:rPr>
        <w:rStyle w:val="HideTWBExt"/>
      </w:rPr>
      <w:t>&lt;/PathFdR&gt;</w:t>
    </w:r>
  </w:p>
  <w:p w14:paraId="21491041" w14:textId="77777777" w:rsidR="00061A2B" w:rsidRPr="00D717BC" w:rsidRDefault="00061A2B" w:rsidP="00504E10">
    <w:pPr>
      <w:pStyle w:val="EPFooter2"/>
    </w:pPr>
    <w:r w:rsidRPr="00D717BC">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48A0" w14:textId="77777777" w:rsidR="00061A2B" w:rsidRPr="00D717BC" w:rsidRDefault="00061A2B" w:rsidP="00504E10">
    <w:pPr>
      <w:pStyle w:val="EPFooter"/>
    </w:pPr>
    <w:r w:rsidRPr="00D717BC">
      <w:rPr>
        <w:rStyle w:val="HideTWBExt"/>
      </w:rPr>
      <w:t>&lt;PathFdR&gt;</w:t>
    </w:r>
    <w:r w:rsidRPr="00D717BC">
      <w:t>RR\1339711RO.docx</w:t>
    </w:r>
    <w:r w:rsidRPr="00D717BC">
      <w:rPr>
        <w:rStyle w:val="HideTWBExt"/>
      </w:rPr>
      <w:t>&lt;/PathFdR&gt;</w:t>
    </w:r>
    <w:r w:rsidRPr="00D717BC">
      <w:tab/>
    </w:r>
    <w:r w:rsidRPr="00D717BC">
      <w:tab/>
      <w:t>PE</w:t>
    </w:r>
    <w:r w:rsidRPr="00D717BC">
      <w:rPr>
        <w:rStyle w:val="HideTWBExt"/>
      </w:rPr>
      <w:t>&lt;NoPE&gt;</w:t>
    </w:r>
    <w:r w:rsidRPr="00D717BC">
      <w:t>784.472</w:t>
    </w:r>
    <w:r w:rsidRPr="00D717BC">
      <w:rPr>
        <w:rStyle w:val="HideTWBExt"/>
      </w:rPr>
      <w:t>&lt;/NoPE&gt;&lt;Version&gt;</w:t>
    </w:r>
    <w:r w:rsidRPr="00D717BC">
      <w:t>v02-00</w:t>
    </w:r>
    <w:r w:rsidRPr="00D717BC">
      <w:rPr>
        <w:rStyle w:val="HideTWBExt"/>
      </w:rPr>
      <w:t>&lt;/Version&gt;</w:t>
    </w:r>
  </w:p>
  <w:p w14:paraId="3BB0FAD7" w14:textId="77777777" w:rsidR="00061A2B" w:rsidRPr="00D717BC" w:rsidRDefault="00061A2B" w:rsidP="00504E10">
    <w:pPr>
      <w:pStyle w:val="EPFooter2"/>
    </w:pPr>
    <w:r w:rsidRPr="00D717BC">
      <w:t>RO</w:t>
    </w:r>
    <w:r w:rsidRPr="00D717BC">
      <w:tab/>
    </w:r>
    <w:r w:rsidRPr="00D717BC">
      <w:rPr>
        <w:b w:val="0"/>
        <w:i/>
        <w:color w:val="C0C0C0"/>
        <w:sz w:val="22"/>
      </w:rPr>
      <w:t>Unită în diversitate</w:t>
    </w:r>
    <w:r w:rsidRPr="00D717BC">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9B27" w14:textId="77777777" w:rsidR="00064002" w:rsidRPr="00D717B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68C7" w14:textId="77777777" w:rsidR="00064002" w:rsidRPr="00D717B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FE62" w14:textId="77777777" w:rsidR="00064002" w:rsidRPr="00D717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61F77" w14:textId="77777777" w:rsidR="0099716F" w:rsidRPr="00D717BC" w:rsidRDefault="0099716F">
      <w:r w:rsidRPr="00D717BC">
        <w:separator/>
      </w:r>
    </w:p>
  </w:footnote>
  <w:footnote w:type="continuationSeparator" w:id="0">
    <w:p w14:paraId="7A135EA2" w14:textId="77777777" w:rsidR="0099716F" w:rsidRPr="00D717BC" w:rsidRDefault="0099716F">
      <w:r w:rsidRPr="00D717BC">
        <w:continuationSeparator/>
      </w:r>
    </w:p>
  </w:footnote>
  <w:footnote w:id="1">
    <w:p w14:paraId="256685DE" w14:textId="392CB43A" w:rsidR="00061A2B" w:rsidRPr="00D717BC" w:rsidRDefault="00061A2B" w:rsidP="00D717BC">
      <w:pPr>
        <w:pStyle w:val="FootnoteText"/>
        <w:ind w:left="567" w:hanging="567"/>
        <w:rPr>
          <w:sz w:val="24"/>
          <w:lang w:val="ro-RO"/>
        </w:rPr>
      </w:pPr>
      <w:r w:rsidRPr="00D717BC">
        <w:rPr>
          <w:rStyle w:val="FootnoteReference"/>
          <w:sz w:val="24"/>
          <w:lang w:val="ro-RO"/>
        </w:rPr>
        <w:footnoteRef/>
      </w:r>
      <w:r w:rsidR="00D717BC" w:rsidRPr="00D717BC">
        <w:rPr>
          <w:sz w:val="24"/>
          <w:lang w:val="ro-RO"/>
        </w:rPr>
        <w:t xml:space="preserve"> </w:t>
      </w:r>
      <w:r w:rsidR="00D717BC" w:rsidRPr="00D717BC">
        <w:rPr>
          <w:sz w:val="24"/>
          <w:lang w:val="ro-RO"/>
        </w:rPr>
        <w:tab/>
      </w:r>
      <w:r w:rsidRPr="00D717BC">
        <w:rPr>
          <w:sz w:val="24"/>
          <w:lang w:val="ro-RO"/>
        </w:rPr>
        <w:t xml:space="preserve">JO L 153, 3.5.2021, p. 48, ELI: </w:t>
      </w:r>
      <w:hyperlink r:id="rId1" w:history="1">
        <w:r w:rsidRPr="00D717BC">
          <w:rPr>
            <w:rStyle w:val="Hyperlink"/>
            <w:sz w:val="24"/>
            <w:lang w:val="ro-RO"/>
          </w:rPr>
          <w:t>http://data.europa.eu/eli/reg/2021/691/oj</w:t>
        </w:r>
      </w:hyperlink>
      <w:r w:rsidRPr="00D717BC">
        <w:rPr>
          <w:sz w:val="24"/>
          <w:lang w:val="ro-RO"/>
        </w:rPr>
        <w:t>.</w:t>
      </w:r>
    </w:p>
  </w:footnote>
  <w:footnote w:id="2">
    <w:p w14:paraId="692A6C43" w14:textId="54A1BC25" w:rsidR="00061A2B" w:rsidRPr="00D717BC" w:rsidRDefault="00061A2B" w:rsidP="00D717BC">
      <w:pPr>
        <w:pStyle w:val="FootnoteText"/>
        <w:ind w:left="567" w:hanging="567"/>
        <w:rPr>
          <w:sz w:val="24"/>
          <w:lang w:val="ro-RO"/>
        </w:rPr>
      </w:pPr>
      <w:r w:rsidRPr="00D717BC">
        <w:rPr>
          <w:rStyle w:val="FootnoteReference"/>
          <w:sz w:val="24"/>
          <w:lang w:val="ro-RO"/>
        </w:rPr>
        <w:footnoteRef/>
      </w:r>
      <w:r w:rsidR="00D717BC" w:rsidRPr="00D717BC">
        <w:rPr>
          <w:sz w:val="24"/>
          <w:lang w:val="ro-RO"/>
        </w:rPr>
        <w:t xml:space="preserve"> </w:t>
      </w:r>
      <w:r w:rsidR="00D717BC" w:rsidRPr="00D717BC">
        <w:rPr>
          <w:sz w:val="24"/>
          <w:lang w:val="ro-RO"/>
        </w:rPr>
        <w:tab/>
      </w:r>
      <w:r w:rsidRPr="00D717BC">
        <w:rPr>
          <w:sz w:val="24"/>
          <w:lang w:val="ro-RO"/>
        </w:rPr>
        <w:t xml:space="preserve">JO L 433 I, 22.12.2020, p. 11, ELI: </w:t>
      </w:r>
      <w:r>
        <w:fldChar w:fldCharType="begin"/>
      </w:r>
      <w:r w:rsidRPr="00603D88">
        <w:rPr>
          <w:lang w:val="fi-FI"/>
        </w:rPr>
        <w:instrText>HYPERLINK "http://data.europa.eu/eli/reg/2020/2093/oj"</w:instrText>
      </w:r>
      <w:r>
        <w:fldChar w:fldCharType="separate"/>
      </w:r>
      <w:r w:rsidRPr="00D717BC">
        <w:rPr>
          <w:rStyle w:val="Hyperlink"/>
          <w:sz w:val="24"/>
          <w:lang w:val="ro-RO"/>
        </w:rPr>
        <w:t>http://data.europa.eu/eli/reg/2020/2093/oj</w:t>
      </w:r>
      <w:r>
        <w:fldChar w:fldCharType="end"/>
      </w:r>
      <w:r w:rsidRPr="00D717BC">
        <w:rPr>
          <w:sz w:val="24"/>
          <w:lang w:val="ro-RO"/>
        </w:rPr>
        <w:t>.</w:t>
      </w:r>
    </w:p>
  </w:footnote>
  <w:footnote w:id="3">
    <w:p w14:paraId="1B8845A5" w14:textId="6AD0D4F6" w:rsidR="00061A2B" w:rsidRPr="00D717BC" w:rsidRDefault="00061A2B" w:rsidP="00D717BC">
      <w:pPr>
        <w:pStyle w:val="FootnoteText"/>
        <w:ind w:left="567" w:hanging="567"/>
        <w:rPr>
          <w:sz w:val="24"/>
          <w:lang w:val="ro-RO"/>
        </w:rPr>
      </w:pPr>
      <w:r w:rsidRPr="00D717BC">
        <w:rPr>
          <w:rStyle w:val="FootnoteReference"/>
          <w:sz w:val="24"/>
          <w:lang w:val="ro-RO"/>
        </w:rPr>
        <w:footnoteRef/>
      </w:r>
      <w:r w:rsidR="00D717BC" w:rsidRPr="00D717BC">
        <w:rPr>
          <w:sz w:val="24"/>
          <w:shd w:val="clear" w:color="auto" w:fill="FFFFFF"/>
          <w:lang w:val="ro-RO"/>
        </w:rPr>
        <w:t xml:space="preserve"> </w:t>
      </w:r>
      <w:r w:rsidR="00D717BC" w:rsidRPr="00D717BC">
        <w:rPr>
          <w:sz w:val="24"/>
          <w:shd w:val="clear" w:color="auto" w:fill="FFFFFF"/>
          <w:lang w:val="ro-RO"/>
        </w:rPr>
        <w:tab/>
      </w:r>
      <w:r w:rsidRPr="00D717BC">
        <w:rPr>
          <w:sz w:val="24"/>
          <w:shd w:val="clear" w:color="auto" w:fill="FFFFFF"/>
          <w:lang w:val="ro-RO"/>
        </w:rPr>
        <w:t xml:space="preserve">Regulamentul (UE, Euratom) 2024/765 al Consiliului din 29 februarie 2024 de modificare a Regulamentului (UE, Euratom) 2020/2093 de stabilire a cadrului financiar multianual pentru perioada 2021-2027 (JO L, 2024/765, 29.2.2024, ELI: </w:t>
      </w:r>
      <w:r w:rsidR="00754A68">
        <w:rPr>
          <w:sz w:val="24"/>
          <w:shd w:val="clear" w:color="auto" w:fill="FFFFFF"/>
          <w:lang w:val="ro-RO"/>
        </w:rPr>
        <w:t> </w:t>
      </w:r>
      <w:r w:rsidR="00754A68">
        <w:fldChar w:fldCharType="begin"/>
      </w:r>
      <w:r w:rsidR="00754A68" w:rsidRPr="00603D88">
        <w:rPr>
          <w:lang w:val="ro-RO"/>
        </w:rPr>
        <w:instrText>HYPERLINK "http://data.europa.eu/eli/reg/2024/765/oj"</w:instrText>
      </w:r>
      <w:r w:rsidR="00754A68">
        <w:fldChar w:fldCharType="separate"/>
      </w:r>
      <w:r w:rsidR="00754A68" w:rsidRPr="00754A68">
        <w:rPr>
          <w:rStyle w:val="Hyperlink"/>
          <w:sz w:val="24"/>
          <w:shd w:val="clear" w:color="auto" w:fill="FFFFFF"/>
          <w:lang w:val="ro-RO"/>
        </w:rPr>
        <w:t>http://data.europa.eu/eli/reg/2024/765/oj</w:t>
      </w:r>
      <w:r w:rsidR="00754A68">
        <w:fldChar w:fldCharType="end"/>
      </w:r>
      <w:r w:rsidRPr="00D717BC">
        <w:rPr>
          <w:sz w:val="24"/>
          <w:shd w:val="clear" w:color="auto" w:fill="FFFFFF"/>
          <w:lang w:val="ro-RO"/>
        </w:rPr>
        <w:t>)</w:t>
      </w:r>
      <w:r w:rsidRPr="00D717BC">
        <w:rPr>
          <w:i/>
          <w:sz w:val="24"/>
          <w:shd w:val="clear" w:color="auto" w:fill="FFFFFF"/>
          <w:lang w:val="ro-RO"/>
        </w:rPr>
        <w:t>.</w:t>
      </w:r>
    </w:p>
  </w:footnote>
  <w:footnote w:id="4">
    <w:p w14:paraId="55E495B8" w14:textId="6E85CDC0" w:rsidR="00061A2B" w:rsidRPr="00D717BC" w:rsidRDefault="00061A2B" w:rsidP="00D717BC">
      <w:pPr>
        <w:pStyle w:val="FootnoteText"/>
        <w:ind w:left="567" w:hanging="567"/>
        <w:rPr>
          <w:sz w:val="24"/>
          <w:lang w:val="ro-RO"/>
        </w:rPr>
      </w:pPr>
      <w:r w:rsidRPr="00D717BC">
        <w:rPr>
          <w:rStyle w:val="FootnoteReference"/>
          <w:sz w:val="24"/>
          <w:lang w:val="ro-RO"/>
        </w:rPr>
        <w:footnoteRef/>
      </w:r>
      <w:r w:rsidR="00D717BC" w:rsidRPr="00D717BC">
        <w:rPr>
          <w:sz w:val="24"/>
          <w:lang w:val="ro-RO"/>
        </w:rPr>
        <w:t xml:space="preserve"> </w:t>
      </w:r>
      <w:r w:rsidR="00D717BC" w:rsidRPr="00D717BC">
        <w:rPr>
          <w:sz w:val="24"/>
          <w:lang w:val="ro-RO"/>
        </w:rPr>
        <w:tab/>
      </w:r>
      <w:r w:rsidRPr="00D717BC">
        <w:rPr>
          <w:sz w:val="24"/>
          <w:lang w:val="ro-RO"/>
        </w:rPr>
        <w:t xml:space="preserve">JO L 433 I, 22.12.2020, p. 28, ELI: </w:t>
      </w:r>
      <w:r w:rsidR="00F9753A">
        <w:rPr>
          <w:sz w:val="24"/>
          <w:lang w:val="ro-RO"/>
        </w:rPr>
        <w:t> </w:t>
      </w:r>
      <w:r w:rsidR="00F9753A">
        <w:fldChar w:fldCharType="begin"/>
      </w:r>
      <w:r w:rsidR="00F9753A" w:rsidRPr="00603D88">
        <w:rPr>
          <w:lang w:val="fi-FI"/>
        </w:rPr>
        <w:instrText>HYPERLINK "http://data.europa.eu/eli/agree_interinstit/2020/1222/oj"</w:instrText>
      </w:r>
      <w:r w:rsidR="00F9753A">
        <w:fldChar w:fldCharType="separate"/>
      </w:r>
      <w:r w:rsidR="00F9753A" w:rsidRPr="00F9753A">
        <w:rPr>
          <w:rStyle w:val="Hyperlink"/>
          <w:sz w:val="24"/>
          <w:lang w:val="ro-RO"/>
        </w:rPr>
        <w:t>http://data.europa.eu/eli/agree_interinstit/2020/1222/oj</w:t>
      </w:r>
      <w:r w:rsidR="00F9753A">
        <w:fldChar w:fldCharType="end"/>
      </w:r>
      <w:r w:rsidRPr="00D717BC">
        <w:rPr>
          <w:sz w:val="24"/>
          <w:lang w:val="ro-RO"/>
        </w:rPr>
        <w:t>.</w:t>
      </w:r>
    </w:p>
  </w:footnote>
  <w:footnote w:id="5">
    <w:p w14:paraId="3D509853" w14:textId="694A9DA5" w:rsidR="00061A2B" w:rsidRPr="00D717BC" w:rsidRDefault="00061A2B" w:rsidP="00D717BC">
      <w:pPr>
        <w:pStyle w:val="FootnoteText"/>
        <w:ind w:left="567" w:hanging="567"/>
        <w:rPr>
          <w:sz w:val="24"/>
          <w:lang w:val="ro-RO"/>
        </w:rPr>
      </w:pPr>
      <w:r w:rsidRPr="00D717BC">
        <w:rPr>
          <w:rStyle w:val="FootnoteReference"/>
          <w:sz w:val="24"/>
          <w:lang w:val="ro-RO"/>
        </w:rPr>
        <w:footnoteRef/>
      </w:r>
      <w:r w:rsidR="00D717BC" w:rsidRPr="00D717BC">
        <w:rPr>
          <w:sz w:val="24"/>
          <w:lang w:val="ro-RO"/>
        </w:rPr>
        <w:t xml:space="preserve"> </w:t>
      </w:r>
      <w:r w:rsidR="00D717BC" w:rsidRPr="00D717BC">
        <w:rPr>
          <w:sz w:val="24"/>
          <w:lang w:val="ro-RO"/>
        </w:rPr>
        <w:tab/>
      </w:r>
      <w:r w:rsidRPr="00D717BC">
        <w:rPr>
          <w:sz w:val="24"/>
          <w:lang w:val="ro-RO"/>
        </w:rPr>
        <w:t>În sensul articolului 3 din Regulamentul privind FEG.</w:t>
      </w:r>
    </w:p>
  </w:footnote>
  <w:footnote w:id="6">
    <w:p w14:paraId="57F071E1" w14:textId="726D4BD7" w:rsidR="00061A2B" w:rsidRPr="00D717BC" w:rsidRDefault="00061A2B" w:rsidP="00D717BC">
      <w:pPr>
        <w:pStyle w:val="FootnoteText"/>
        <w:ind w:left="567" w:hanging="567"/>
        <w:rPr>
          <w:sz w:val="24"/>
          <w:lang w:val="ro-RO"/>
        </w:rPr>
      </w:pPr>
      <w:r w:rsidRPr="00D717BC">
        <w:rPr>
          <w:rStyle w:val="FootnoteReference"/>
          <w:sz w:val="24"/>
          <w:lang w:val="ro-RO"/>
        </w:rPr>
        <w:footnoteRef/>
      </w:r>
      <w:r w:rsidR="00D717BC" w:rsidRPr="00D717BC">
        <w:rPr>
          <w:sz w:val="24"/>
          <w:lang w:val="ro-RO"/>
        </w:rPr>
        <w:t xml:space="preserve"> </w:t>
      </w:r>
      <w:r w:rsidR="00D717BC" w:rsidRPr="00D717BC">
        <w:rPr>
          <w:sz w:val="24"/>
          <w:lang w:val="ro-RO"/>
        </w:rPr>
        <w:tab/>
      </w:r>
      <w:r w:rsidRPr="00D717BC">
        <w:rPr>
          <w:sz w:val="24"/>
          <w:lang w:val="ro-RO"/>
        </w:rPr>
        <w:t>Articolul 8 din Regulamentul privind CFM.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C7DF" w14:textId="77777777" w:rsidR="00064002" w:rsidRPr="00D717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EE42" w14:textId="77777777" w:rsidR="00064002" w:rsidRPr="00D717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EDD7" w14:textId="77777777" w:rsidR="00064002" w:rsidRPr="00D717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6317408">
    <w:abstractNumId w:val="9"/>
  </w:num>
  <w:num w:numId="2" w16cid:durableId="1858695369">
    <w:abstractNumId w:val="9"/>
  </w:num>
  <w:num w:numId="3" w16cid:durableId="1644506031">
    <w:abstractNumId w:val="7"/>
  </w:num>
  <w:num w:numId="4" w16cid:durableId="853227983">
    <w:abstractNumId w:val="7"/>
  </w:num>
  <w:num w:numId="5" w16cid:durableId="617418874">
    <w:abstractNumId w:val="6"/>
  </w:num>
  <w:num w:numId="6" w16cid:durableId="1346398319">
    <w:abstractNumId w:val="6"/>
  </w:num>
  <w:num w:numId="7" w16cid:durableId="2079859992">
    <w:abstractNumId w:val="5"/>
  </w:num>
  <w:num w:numId="8" w16cid:durableId="126319522">
    <w:abstractNumId w:val="5"/>
  </w:num>
  <w:num w:numId="9" w16cid:durableId="1454178956">
    <w:abstractNumId w:val="4"/>
  </w:num>
  <w:num w:numId="10" w16cid:durableId="1627469237">
    <w:abstractNumId w:val="4"/>
  </w:num>
  <w:num w:numId="11" w16cid:durableId="260843475">
    <w:abstractNumId w:val="8"/>
  </w:num>
  <w:num w:numId="12" w16cid:durableId="273749038">
    <w:abstractNumId w:val="8"/>
  </w:num>
  <w:num w:numId="13" w16cid:durableId="841626254">
    <w:abstractNumId w:val="3"/>
  </w:num>
  <w:num w:numId="14" w16cid:durableId="1933473045">
    <w:abstractNumId w:val="3"/>
  </w:num>
  <w:num w:numId="15" w16cid:durableId="1520046836">
    <w:abstractNumId w:val="2"/>
  </w:num>
  <w:num w:numId="16" w16cid:durableId="1978295041">
    <w:abstractNumId w:val="2"/>
  </w:num>
  <w:num w:numId="17" w16cid:durableId="348651937">
    <w:abstractNumId w:val="1"/>
  </w:num>
  <w:num w:numId="18" w16cid:durableId="911309199">
    <w:abstractNumId w:val="1"/>
  </w:num>
  <w:num w:numId="19" w16cid:durableId="1101409747">
    <w:abstractNumId w:val="0"/>
  </w:num>
  <w:num w:numId="20" w16cid:durableId="2022002973">
    <w:abstractNumId w:val="0"/>
  </w:num>
  <w:num w:numId="21" w16cid:durableId="383991958">
    <w:abstractNumId w:val="9"/>
  </w:num>
  <w:num w:numId="22" w16cid:durableId="2133017715">
    <w:abstractNumId w:val="7"/>
  </w:num>
  <w:num w:numId="23" w16cid:durableId="1865052008">
    <w:abstractNumId w:val="6"/>
  </w:num>
  <w:num w:numId="24" w16cid:durableId="2138717425">
    <w:abstractNumId w:val="5"/>
  </w:num>
  <w:num w:numId="25" w16cid:durableId="2039307582">
    <w:abstractNumId w:val="4"/>
  </w:num>
  <w:num w:numId="26" w16cid:durableId="397477063">
    <w:abstractNumId w:val="8"/>
  </w:num>
  <w:num w:numId="27" w16cid:durableId="258368475">
    <w:abstractNumId w:val="3"/>
  </w:num>
  <w:num w:numId="28" w16cid:durableId="1643004633">
    <w:abstractNumId w:val="2"/>
  </w:num>
  <w:num w:numId="29" w16cid:durableId="1770158659">
    <w:abstractNumId w:val="1"/>
  </w:num>
  <w:num w:numId="30" w16cid:durableId="1874927899">
    <w:abstractNumId w:val="0"/>
  </w:num>
  <w:num w:numId="31" w16cid:durableId="1651861181">
    <w:abstractNumId w:val="9"/>
  </w:num>
  <w:num w:numId="32" w16cid:durableId="1862469404">
    <w:abstractNumId w:val="7"/>
  </w:num>
  <w:num w:numId="33" w16cid:durableId="1889881285">
    <w:abstractNumId w:val="6"/>
  </w:num>
  <w:num w:numId="34" w16cid:durableId="1967657632">
    <w:abstractNumId w:val="5"/>
  </w:num>
  <w:num w:numId="35" w16cid:durableId="2075277964">
    <w:abstractNumId w:val="4"/>
  </w:num>
  <w:num w:numId="36" w16cid:durableId="126971406">
    <w:abstractNumId w:val="8"/>
  </w:num>
  <w:num w:numId="37" w16cid:durableId="1945065771">
    <w:abstractNumId w:val="3"/>
  </w:num>
  <w:num w:numId="38" w16cid:durableId="945306331">
    <w:abstractNumId w:val="2"/>
  </w:num>
  <w:num w:numId="39" w16cid:durableId="978535312">
    <w:abstractNumId w:val="1"/>
  </w:num>
  <w:num w:numId="40" w16cid:durableId="823156106">
    <w:abstractNumId w:val="0"/>
  </w:num>
  <w:num w:numId="41" w16cid:durableId="78985108">
    <w:abstractNumId w:val="10"/>
  </w:num>
  <w:num w:numId="42" w16cid:durableId="2078703503">
    <w:abstractNumId w:val="10"/>
  </w:num>
  <w:num w:numId="43" w16cid:durableId="493644581">
    <w:abstractNumId w:val="10"/>
  </w:num>
  <w:num w:numId="44" w16cid:durableId="17432111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RO"/>
    <w:docVar w:name="dvnumam" w:val="0"/>
    <w:docVar w:name="dvpe" w:val="784.472"/>
    <w:docVar w:name="dvrapporteur" w:val="Raportor: "/>
    <w:docVar w:name="dvtitre" w:val="Rezoluția Parlamentului European din 26 martie 2026 referitoare la propunerea de decizie a Parlamentului European și a Consiliului privind mobilizarea Fondului european de ajustare la globalizare pentru lucrătorii disponibilizați în urma unei cereri din partea Austriei – EGF/2025/005 AT/KTM(COM(2026)0010 – C10-0026/2026 – 2026/0037(BUD))"/>
  </w:docVars>
  <w:rsids>
    <w:rsidRoot w:val="0099716F"/>
    <w:rsid w:val="00002272"/>
    <w:rsid w:val="00061A2B"/>
    <w:rsid w:val="00064002"/>
    <w:rsid w:val="000677B9"/>
    <w:rsid w:val="00067CC6"/>
    <w:rsid w:val="000831BA"/>
    <w:rsid w:val="000A42CC"/>
    <w:rsid w:val="000E7DD9"/>
    <w:rsid w:val="0010095E"/>
    <w:rsid w:val="00125B37"/>
    <w:rsid w:val="00187494"/>
    <w:rsid w:val="001B32F6"/>
    <w:rsid w:val="001F32AE"/>
    <w:rsid w:val="00270029"/>
    <w:rsid w:val="002767FF"/>
    <w:rsid w:val="002B18FE"/>
    <w:rsid w:val="002B1C6F"/>
    <w:rsid w:val="002B5493"/>
    <w:rsid w:val="002E292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3D88"/>
    <w:rsid w:val="006631B6"/>
    <w:rsid w:val="00680577"/>
    <w:rsid w:val="006F74FA"/>
    <w:rsid w:val="00731ADD"/>
    <w:rsid w:val="00734777"/>
    <w:rsid w:val="00747932"/>
    <w:rsid w:val="00751A4A"/>
    <w:rsid w:val="00754A68"/>
    <w:rsid w:val="00756632"/>
    <w:rsid w:val="00762C74"/>
    <w:rsid w:val="00786EC0"/>
    <w:rsid w:val="007B2F78"/>
    <w:rsid w:val="007D1690"/>
    <w:rsid w:val="007E22AD"/>
    <w:rsid w:val="00817416"/>
    <w:rsid w:val="00832796"/>
    <w:rsid w:val="00842779"/>
    <w:rsid w:val="00865F67"/>
    <w:rsid w:val="00881A7B"/>
    <w:rsid w:val="008840E5"/>
    <w:rsid w:val="00887B3E"/>
    <w:rsid w:val="008C2AC6"/>
    <w:rsid w:val="00930C23"/>
    <w:rsid w:val="0093193B"/>
    <w:rsid w:val="009509D8"/>
    <w:rsid w:val="00950B64"/>
    <w:rsid w:val="00981893"/>
    <w:rsid w:val="0099716F"/>
    <w:rsid w:val="00A1687D"/>
    <w:rsid w:val="00A43E52"/>
    <w:rsid w:val="00A4678D"/>
    <w:rsid w:val="00A6104A"/>
    <w:rsid w:val="00A778C7"/>
    <w:rsid w:val="00AB441E"/>
    <w:rsid w:val="00AB6293"/>
    <w:rsid w:val="00AD65A4"/>
    <w:rsid w:val="00AE0928"/>
    <w:rsid w:val="00AF3B82"/>
    <w:rsid w:val="00B12E95"/>
    <w:rsid w:val="00B22876"/>
    <w:rsid w:val="00B465BA"/>
    <w:rsid w:val="00B558F0"/>
    <w:rsid w:val="00BD48FE"/>
    <w:rsid w:val="00BD7BD8"/>
    <w:rsid w:val="00BE6ADC"/>
    <w:rsid w:val="00C05BFE"/>
    <w:rsid w:val="00C23CD4"/>
    <w:rsid w:val="00C61C0C"/>
    <w:rsid w:val="00C9276A"/>
    <w:rsid w:val="00C941CB"/>
    <w:rsid w:val="00CC2357"/>
    <w:rsid w:val="00CF071A"/>
    <w:rsid w:val="00D058B8"/>
    <w:rsid w:val="00D1094C"/>
    <w:rsid w:val="00D56C11"/>
    <w:rsid w:val="00D717B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53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55A48"/>
  <w15:chartTrackingRefBased/>
  <w15:docId w15:val="{2F2259DA-338F-4709-9E17-AD4F50D9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1A2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61A2B"/>
    <w:pPr>
      <w:keepNext/>
      <w:spacing w:after="480"/>
      <w:jc w:val="center"/>
    </w:pPr>
    <w:rPr>
      <w:rFonts w:ascii="Arial" w:hAnsi="Arial" w:cs="Arial"/>
      <w:b/>
    </w:rPr>
  </w:style>
  <w:style w:type="paragraph" w:customStyle="1" w:styleId="NormalHanging12a">
    <w:name w:val="NormalHanging12a"/>
    <w:basedOn w:val="Normal"/>
    <w:link w:val="NormalHanging12aChar"/>
    <w:rsid w:val="00061A2B"/>
    <w:pPr>
      <w:spacing w:after="240"/>
      <w:ind w:left="567" w:hanging="567"/>
    </w:pPr>
  </w:style>
  <w:style w:type="paragraph" w:styleId="Header">
    <w:name w:val="header"/>
    <w:basedOn w:val="Normal"/>
    <w:link w:val="HeaderChar"/>
    <w:rsid w:val="00061A2B"/>
    <w:pPr>
      <w:tabs>
        <w:tab w:val="center" w:pos="4513"/>
        <w:tab w:val="right" w:pos="9026"/>
      </w:tabs>
    </w:pPr>
  </w:style>
  <w:style w:type="character" w:customStyle="1" w:styleId="HeaderChar">
    <w:name w:val="Header Char"/>
    <w:basedOn w:val="DefaultParagraphFont"/>
    <w:link w:val="Header"/>
    <w:rsid w:val="00061A2B"/>
    <w:rPr>
      <w:sz w:val="24"/>
      <w:lang w:val="ro-RO"/>
    </w:rPr>
  </w:style>
  <w:style w:type="paragraph" w:customStyle="1" w:styleId="EPFooter">
    <w:name w:val="EPFooter"/>
    <w:basedOn w:val="Normal"/>
    <w:rsid w:val="00061A2B"/>
    <w:pPr>
      <w:tabs>
        <w:tab w:val="center" w:pos="4535"/>
        <w:tab w:val="right" w:pos="9071"/>
      </w:tabs>
      <w:spacing w:before="240" w:after="240"/>
    </w:pPr>
    <w:rPr>
      <w:color w:val="010000"/>
      <w:sz w:val="22"/>
    </w:rPr>
  </w:style>
  <w:style w:type="paragraph" w:customStyle="1" w:styleId="EPComma">
    <w:name w:val="EPComma"/>
    <w:basedOn w:val="Normal"/>
    <w:rsid w:val="00061A2B"/>
    <w:pPr>
      <w:spacing w:before="480" w:after="240"/>
    </w:pPr>
  </w:style>
  <w:style w:type="character" w:styleId="Hyperlink">
    <w:name w:val="Hyperlink"/>
    <w:basedOn w:val="DefaultParagraphFont"/>
    <w:uiPriority w:val="99"/>
    <w:rsid w:val="00061A2B"/>
    <w:rPr>
      <w:color w:val="0563C1" w:themeColor="hyperlink"/>
      <w:u w:val="single"/>
    </w:rPr>
  </w:style>
  <w:style w:type="character" w:customStyle="1" w:styleId="NormalHanging12aChar">
    <w:name w:val="NormalHanging12a Char"/>
    <w:basedOn w:val="DefaultParagraphFont"/>
    <w:link w:val="NormalHanging12a"/>
    <w:locked/>
    <w:rsid w:val="00061A2B"/>
    <w:rPr>
      <w:sz w:val="24"/>
      <w:lang w:val="ro-RO"/>
    </w:rPr>
  </w:style>
  <w:style w:type="character" w:customStyle="1" w:styleId="PageHeadingChar">
    <w:name w:val="PageHeading Char"/>
    <w:basedOn w:val="DefaultParagraphFont"/>
    <w:link w:val="PageHeading"/>
    <w:rsid w:val="00061A2B"/>
    <w:rPr>
      <w:rFonts w:ascii="Arial" w:hAnsi="Arial" w:cs="Arial"/>
      <w:b/>
      <w:sz w:val="24"/>
      <w:lang w:val="ro-RO"/>
    </w:rPr>
  </w:style>
  <w:style w:type="paragraph" w:customStyle="1" w:styleId="Fait">
    <w:name w:val="Fait à"/>
    <w:basedOn w:val="Normal"/>
    <w:next w:val="Institutionquisigne"/>
    <w:rsid w:val="00061A2B"/>
    <w:pPr>
      <w:keepNext/>
      <w:widowControl/>
      <w:spacing w:before="120" w:line="360" w:lineRule="auto"/>
    </w:pPr>
    <w:rPr>
      <w:rFonts w:eastAsiaTheme="minorHAnsi"/>
      <w:szCs w:val="22"/>
      <w:lang w:eastAsia="ro-RO" w:bidi="ro-RO"/>
    </w:rPr>
  </w:style>
  <w:style w:type="paragraph" w:customStyle="1" w:styleId="Formuledadoption">
    <w:name w:val="Formule d'adoption"/>
    <w:basedOn w:val="Normal"/>
    <w:next w:val="Titrearticle"/>
    <w:rsid w:val="00061A2B"/>
    <w:pPr>
      <w:keepNext/>
      <w:widowControl/>
      <w:spacing w:before="120" w:after="120" w:line="360" w:lineRule="auto"/>
    </w:pPr>
    <w:rPr>
      <w:rFonts w:eastAsiaTheme="minorHAnsi"/>
      <w:szCs w:val="22"/>
      <w:lang w:eastAsia="ro-RO" w:bidi="ro-RO"/>
    </w:rPr>
  </w:style>
  <w:style w:type="paragraph" w:customStyle="1" w:styleId="Institutionquiagit">
    <w:name w:val="Institution qui agit"/>
    <w:basedOn w:val="Normal"/>
    <w:next w:val="Normal"/>
    <w:rsid w:val="00061A2B"/>
    <w:pPr>
      <w:keepNext/>
      <w:widowControl/>
      <w:spacing w:before="600" w:after="120" w:line="360" w:lineRule="auto"/>
    </w:pPr>
    <w:rPr>
      <w:rFonts w:eastAsiaTheme="minorHAnsi"/>
      <w:szCs w:val="22"/>
      <w:lang w:eastAsia="ro-RO" w:bidi="ro-RO"/>
    </w:rPr>
  </w:style>
  <w:style w:type="paragraph" w:customStyle="1" w:styleId="Institutionquisigne">
    <w:name w:val="Institution qui signe"/>
    <w:basedOn w:val="Normal"/>
    <w:next w:val="Personnequisigne"/>
    <w:rsid w:val="00061A2B"/>
    <w:pPr>
      <w:keepNext/>
      <w:widowControl/>
      <w:tabs>
        <w:tab w:val="left" w:pos="5669"/>
      </w:tabs>
      <w:spacing w:before="720" w:line="360" w:lineRule="auto"/>
    </w:pPr>
    <w:rPr>
      <w:rFonts w:eastAsiaTheme="minorHAnsi"/>
      <w:i/>
      <w:szCs w:val="22"/>
      <w:lang w:eastAsia="ro-RO" w:bidi="ro-RO"/>
    </w:rPr>
  </w:style>
  <w:style w:type="paragraph" w:customStyle="1" w:styleId="ManualConsidrant">
    <w:name w:val="Manual Considérant"/>
    <w:basedOn w:val="Normal"/>
    <w:rsid w:val="00061A2B"/>
    <w:pPr>
      <w:widowControl/>
      <w:spacing w:before="120" w:after="120" w:line="360" w:lineRule="auto"/>
      <w:ind w:left="850" w:hanging="850"/>
    </w:pPr>
    <w:rPr>
      <w:rFonts w:eastAsiaTheme="minorHAnsi"/>
      <w:szCs w:val="22"/>
      <w:lang w:eastAsia="ro-RO" w:bidi="ro-RO"/>
    </w:rPr>
  </w:style>
  <w:style w:type="paragraph" w:customStyle="1" w:styleId="Personnequisigne">
    <w:name w:val="Personne qui signe"/>
    <w:basedOn w:val="Normal"/>
    <w:next w:val="Institutionquisigne"/>
    <w:rsid w:val="00061A2B"/>
    <w:pPr>
      <w:widowControl/>
      <w:tabs>
        <w:tab w:val="left" w:pos="5669"/>
      </w:tabs>
      <w:spacing w:line="360" w:lineRule="auto"/>
    </w:pPr>
    <w:rPr>
      <w:rFonts w:eastAsiaTheme="minorHAnsi"/>
      <w:i/>
      <w:szCs w:val="22"/>
      <w:lang w:eastAsia="ro-RO" w:bidi="ro-RO"/>
    </w:rPr>
  </w:style>
  <w:style w:type="paragraph" w:customStyle="1" w:styleId="Titrearticle">
    <w:name w:val="Titre article"/>
    <w:basedOn w:val="Normal"/>
    <w:next w:val="Normal"/>
    <w:rsid w:val="00061A2B"/>
    <w:pPr>
      <w:keepNext/>
      <w:widowControl/>
      <w:spacing w:before="360" w:after="120" w:line="360" w:lineRule="auto"/>
      <w:jc w:val="center"/>
    </w:pPr>
    <w:rPr>
      <w:rFonts w:eastAsiaTheme="minorHAnsi"/>
      <w:i/>
      <w:szCs w:val="22"/>
      <w:lang w:eastAsia="ro-RO" w:bidi="ro-RO"/>
    </w:rPr>
  </w:style>
  <w:style w:type="paragraph" w:styleId="Revision">
    <w:name w:val="Revision"/>
    <w:hidden/>
    <w:uiPriority w:val="99"/>
    <w:semiHidden/>
    <w:rsid w:val="007B2F78"/>
    <w:rPr>
      <w:sz w:val="24"/>
      <w:lang w:val="ro-RO"/>
    </w:rPr>
  </w:style>
  <w:style w:type="paragraph" w:styleId="Footer">
    <w:name w:val="footer"/>
    <w:basedOn w:val="Normal"/>
    <w:link w:val="FooterChar"/>
    <w:rsid w:val="00A6104A"/>
    <w:pPr>
      <w:tabs>
        <w:tab w:val="center" w:pos="4513"/>
        <w:tab w:val="right" w:pos="9026"/>
      </w:tabs>
    </w:pPr>
  </w:style>
  <w:style w:type="character" w:customStyle="1" w:styleId="FooterChar">
    <w:name w:val="Footer Char"/>
    <w:basedOn w:val="DefaultParagraphFont"/>
    <w:link w:val="Footer"/>
    <w:rsid w:val="00A6104A"/>
    <w:rPr>
      <w:sz w:val="24"/>
      <w:lang w:val="ro-RO"/>
    </w:rPr>
  </w:style>
  <w:style w:type="character" w:styleId="UnresolvedMention">
    <w:name w:val="Unresolved Mention"/>
    <w:basedOn w:val="DefaultParagraphFont"/>
    <w:uiPriority w:val="99"/>
    <w:semiHidden/>
    <w:unhideWhenUsed/>
    <w:rsid w:val="00754A68"/>
    <w:rPr>
      <w:color w:val="605E5C"/>
      <w:shd w:val="clear" w:color="auto" w:fill="E1DFDD"/>
    </w:rPr>
  </w:style>
  <w:style w:type="character" w:customStyle="1" w:styleId="ATHeading3Char">
    <w:name w:val="AT Heading 3 Char"/>
    <w:link w:val="ATHeading3"/>
    <w:locked/>
    <w:rsid w:val="00603D88"/>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1653</Words>
  <Characters>9811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2026-05-21T13:17:00Z</dcterms:created>
  <dcterms:modified xsi:type="dcterms:W3CDTF">2026-05-21T13:17:00Z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P10_TA(2026)0103_</vt:lpwstr>
  </property>
  <property fmtid="{D5CDD505-2E9C-101B-9397-08002B2CF9AE}" pid="4" name="&lt;Type&gt;">
    <vt:lpwstr>RR</vt:lpwstr>
  </property>
</Properties>
</file>