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1FBC" w14:paraId="670E327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DF607F" w14:textId="77777777" w:rsidR="00751A4A" w:rsidRPr="00C01FBC" w:rsidRDefault="00737900" w:rsidP="0010095E">
            <w:pPr>
              <w:pStyle w:val="EPName"/>
            </w:pPr>
            <w:r w:rsidRPr="00C01FBC">
              <w:t>Európsky parlament</w:t>
            </w:r>
          </w:p>
          <w:p w14:paraId="7285D0CF" w14:textId="77777777" w:rsidR="00751A4A" w:rsidRPr="00C01FB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1FBC">
              <w:t>2024</w:t>
            </w:r>
            <w:r w:rsidR="00817416" w:rsidRPr="00C01FBC">
              <w:t>-202</w:t>
            </w:r>
            <w:r w:rsidRPr="00C01FBC">
              <w:t>9</w:t>
            </w:r>
          </w:p>
        </w:tc>
        <w:tc>
          <w:tcPr>
            <w:tcW w:w="2268" w:type="dxa"/>
            <w:shd w:val="clear" w:color="auto" w:fill="auto"/>
          </w:tcPr>
          <w:p w14:paraId="12A88BF7" w14:textId="77777777" w:rsidR="00751A4A" w:rsidRPr="00C01FBC" w:rsidRDefault="00187494" w:rsidP="0010095E">
            <w:pPr>
              <w:pStyle w:val="EPLogo"/>
            </w:pPr>
            <w:r w:rsidRPr="00C01FBC">
              <w:rPr>
                <w:noProof/>
                <w:lang w:eastAsia="ja-JP"/>
              </w:rPr>
              <w:drawing>
                <wp:inline distT="0" distB="0" distL="0" distR="0" wp14:anchorId="5B8F2753" wp14:editId="1DE479B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B2A765" w14:textId="77777777" w:rsidR="00D058B8" w:rsidRPr="00C01FBC" w:rsidRDefault="00D058B8" w:rsidP="004C5D52">
      <w:pPr>
        <w:pStyle w:val="LineTop"/>
      </w:pPr>
    </w:p>
    <w:p w14:paraId="2ECC8EF5" w14:textId="77777777" w:rsidR="00680577" w:rsidRPr="00C01FBC" w:rsidRDefault="00737900" w:rsidP="00680577">
      <w:pPr>
        <w:pStyle w:val="EPBodyTA1"/>
      </w:pPr>
      <w:r w:rsidRPr="00C01FBC">
        <w:t>PRIJATÉ TEXTY</w:t>
      </w:r>
    </w:p>
    <w:p w14:paraId="7895087E" w14:textId="77777777" w:rsidR="00D058B8" w:rsidRPr="00C01FBC" w:rsidRDefault="00D058B8" w:rsidP="00D058B8">
      <w:pPr>
        <w:pStyle w:val="LineBottom"/>
      </w:pPr>
    </w:p>
    <w:p w14:paraId="0873D285" w14:textId="437CF65B" w:rsidR="00737900" w:rsidRPr="00C01FBC" w:rsidRDefault="00737900" w:rsidP="00737900">
      <w:pPr>
        <w:pStyle w:val="ATHeading1"/>
      </w:pPr>
      <w:bookmarkStart w:id="0" w:name="TANumber"/>
      <w:r w:rsidRPr="00C01FBC">
        <w:t>P10_TA(2026)0</w:t>
      </w:r>
      <w:r w:rsidR="00C01FBC" w:rsidRPr="00C01FBC">
        <w:t>10</w:t>
      </w:r>
      <w:r w:rsidR="008E7924">
        <w:t>3</w:t>
      </w:r>
      <w:bookmarkEnd w:id="0"/>
    </w:p>
    <w:p w14:paraId="23BFBB92" w14:textId="32DD9FDF" w:rsidR="00737900" w:rsidRPr="00C01FBC" w:rsidRDefault="00737900" w:rsidP="00737900">
      <w:pPr>
        <w:pStyle w:val="ATHeading2"/>
      </w:pPr>
      <w:bookmarkStart w:id="1" w:name="title"/>
      <w:r w:rsidRPr="00C01FBC">
        <w:t>Mobilizácia Európskeho fondu na prispôsobenie sa globalizácii na pomoc pracovníkom, ktorí prišli o</w:t>
      </w:r>
      <w:r w:rsidR="004379A4" w:rsidRPr="00C01FBC">
        <w:t xml:space="preserve"> </w:t>
      </w:r>
      <w:r w:rsidRPr="00C01FBC">
        <w:t>zamestnanie: žiadosť EGF/2025/005 AT/KTM – Rakúsko</w:t>
      </w:r>
      <w:bookmarkEnd w:id="1"/>
    </w:p>
    <w:p w14:paraId="0D8B9E7E" w14:textId="77777777" w:rsidR="00737900" w:rsidRPr="00C01FBC" w:rsidRDefault="00737900" w:rsidP="00737900">
      <w:pPr>
        <w:rPr>
          <w:i/>
          <w:vanish/>
        </w:rPr>
      </w:pPr>
      <w:r w:rsidRPr="00C01FBC">
        <w:rPr>
          <w:i/>
        </w:rPr>
        <w:fldChar w:fldCharType="begin"/>
      </w:r>
      <w:r w:rsidRPr="00C01FBC">
        <w:rPr>
          <w:i/>
        </w:rPr>
        <w:instrText xml:space="preserve"> TC"(</w:instrText>
      </w:r>
      <w:bookmarkStart w:id="2" w:name="DocNumber"/>
      <w:r w:rsidRPr="00C01FBC">
        <w:rPr>
          <w:i/>
        </w:rPr>
        <w:instrText>A10-0060/2026</w:instrText>
      </w:r>
      <w:bookmarkEnd w:id="2"/>
      <w:r w:rsidRPr="00C01FBC">
        <w:rPr>
          <w:i/>
        </w:rPr>
        <w:instrText xml:space="preserve"> - Spravodajca: </w:instrText>
      </w:r>
      <w:proofErr w:type="spellStart"/>
      <w:r w:rsidRPr="00C01FBC">
        <w:rPr>
          <w:i/>
        </w:rPr>
        <w:instrText>Janusz</w:instrText>
      </w:r>
      <w:proofErr w:type="spellEnd"/>
      <w:r w:rsidRPr="00C01FBC">
        <w:rPr>
          <w:i/>
        </w:rPr>
        <w:instrText xml:space="preserve"> </w:instrText>
      </w:r>
      <w:proofErr w:type="spellStart"/>
      <w:r w:rsidRPr="00C01FBC">
        <w:rPr>
          <w:i/>
        </w:rPr>
        <w:instrText>Lewandowski</w:instrText>
      </w:r>
      <w:proofErr w:type="spellEnd"/>
      <w:r w:rsidRPr="00C01FBC">
        <w:rPr>
          <w:i/>
        </w:rPr>
        <w:instrText xml:space="preserve">)"\l3 \n&gt; \* MERGEFORMAT </w:instrText>
      </w:r>
      <w:r w:rsidRPr="00C01FBC">
        <w:rPr>
          <w:i/>
        </w:rPr>
        <w:fldChar w:fldCharType="end"/>
      </w:r>
    </w:p>
    <w:p w14:paraId="404C0211" w14:textId="77777777" w:rsidR="00737900" w:rsidRPr="00C01FBC" w:rsidRDefault="00737900" w:rsidP="00737900">
      <w:pPr>
        <w:rPr>
          <w:vanish/>
        </w:rPr>
      </w:pPr>
      <w:bookmarkStart w:id="3" w:name="Commission"/>
      <w:r w:rsidRPr="00C01FBC">
        <w:rPr>
          <w:vanish/>
        </w:rPr>
        <w:t>Výbor pre rozpočet</w:t>
      </w:r>
      <w:bookmarkEnd w:id="3"/>
    </w:p>
    <w:p w14:paraId="3EF82C27" w14:textId="77777777" w:rsidR="00737900" w:rsidRPr="00C01FBC" w:rsidRDefault="00737900" w:rsidP="00737900">
      <w:pPr>
        <w:rPr>
          <w:vanish/>
        </w:rPr>
      </w:pPr>
      <w:bookmarkStart w:id="4" w:name="PE"/>
      <w:r w:rsidRPr="00C01FBC">
        <w:rPr>
          <w:vanish/>
        </w:rPr>
        <w:t>PE784.472</w:t>
      </w:r>
      <w:bookmarkEnd w:id="4"/>
    </w:p>
    <w:p w14:paraId="51C2B62C" w14:textId="0E5756AC" w:rsidR="00737900" w:rsidRPr="00C01FBC" w:rsidRDefault="00737900" w:rsidP="00737900">
      <w:pPr>
        <w:pStyle w:val="ATHeading3"/>
      </w:pPr>
      <w:bookmarkStart w:id="5" w:name="Sujet"/>
      <w:r w:rsidRPr="00C01FBC">
        <w:t xml:space="preserve">Uznesenie Európskeho parlamentu z </w:t>
      </w:r>
      <w:r w:rsidR="00614AE7" w:rsidRPr="00C01FBC">
        <w:t>26</w:t>
      </w:r>
      <w:r w:rsidRPr="00C01FBC">
        <w:t xml:space="preserve">. </w:t>
      </w:r>
      <w:r w:rsidR="00614AE7" w:rsidRPr="00C01FBC">
        <w:t xml:space="preserve">marca </w:t>
      </w:r>
      <w:r w:rsidRPr="00C01FBC">
        <w:t>2026 o návrhu rozhodnutia Európskeho parlamentu a Rady o mobilizácii Európskeho fondu na prispôsobenie sa globalizácii na pomoc pracovníkom, ktorí prišli o zamestnanie, na základe žiadosti Rakúska – EGF/2025/005 AT</w:t>
      </w:r>
      <w:r w:rsidR="00614AE7" w:rsidRPr="00C01FBC">
        <w:t>/</w:t>
      </w:r>
      <w:r w:rsidRPr="00C01FBC">
        <w:t>KTM</w:t>
      </w:r>
      <w:bookmarkEnd w:id="5"/>
      <w:r w:rsidRPr="00C01FBC">
        <w:t xml:space="preserve"> </w:t>
      </w:r>
      <w:bookmarkStart w:id="6" w:name="References"/>
      <w:r w:rsidRPr="00C01FBC">
        <w:t>(COM(2026)0010 – C10-0026/2026 – 2026/0037(BUD))</w:t>
      </w:r>
      <w:bookmarkEnd w:id="6"/>
    </w:p>
    <w:p w14:paraId="3EC74AFD" w14:textId="77777777" w:rsidR="00DD6B6D" w:rsidRPr="00C01FBC" w:rsidRDefault="00DD6B6D" w:rsidP="00DD6B6D">
      <w:pPr>
        <w:pStyle w:val="EPComma"/>
        <w:rPr>
          <w:noProof/>
        </w:rPr>
      </w:pPr>
      <w:r w:rsidRPr="00C01FBC">
        <w:rPr>
          <w:i/>
        </w:rPr>
        <w:t>Európsky parlament</w:t>
      </w:r>
      <w:r w:rsidRPr="00C01FBC">
        <w:t>,</w:t>
      </w:r>
    </w:p>
    <w:p w14:paraId="7E94ABD1" w14:textId="77777777" w:rsidR="00DD6B6D" w:rsidRPr="00C01FBC" w:rsidRDefault="00DD6B6D" w:rsidP="00DD6B6D">
      <w:pPr>
        <w:pStyle w:val="NormalHanging12a"/>
        <w:rPr>
          <w:noProof/>
        </w:rPr>
      </w:pPr>
      <w:r w:rsidRPr="00C01FBC">
        <w:t>–</w:t>
      </w:r>
      <w:r w:rsidRPr="00C01FBC">
        <w:tab/>
        <w:t>so zreteľom na návrh Komisie pre Európsky parlament a Radu (COM(2026)0010 – C10</w:t>
      </w:r>
      <w:r w:rsidRPr="00C01FBC">
        <w:noBreakHyphen/>
        <w:t>0026/2026),</w:t>
      </w:r>
    </w:p>
    <w:p w14:paraId="289074F4" w14:textId="1EE76126" w:rsidR="00DD6B6D" w:rsidRPr="00C01FBC" w:rsidRDefault="00DD6B6D" w:rsidP="00DD6B6D">
      <w:pPr>
        <w:pStyle w:val="NormalHanging12a"/>
        <w:rPr>
          <w:noProof/>
        </w:rPr>
      </w:pPr>
      <w:r w:rsidRPr="00C01FBC">
        <w:t>–</w:t>
      </w:r>
      <w:r w:rsidRPr="00C01FBC">
        <w:tab/>
        <w:t>so zreteľom na nariadenie Európskeho parlamentu a Rady (EÚ) 2021/691 z 28. apríla 2021 o Európskom fonde na prispôsobenie sa globalizácii na pomoc pracovníkom, ktorí prišli o zamestnanie (</w:t>
      </w:r>
      <w:r w:rsidR="00612E5C" w:rsidRPr="00C01FBC">
        <w:t>ďalej len „</w:t>
      </w:r>
      <w:r w:rsidRPr="00C01FBC">
        <w:t>EGF</w:t>
      </w:r>
      <w:r w:rsidR="00612E5C" w:rsidRPr="00C01FBC">
        <w:t>“</w:t>
      </w:r>
      <w:r w:rsidRPr="00C01FBC">
        <w:t>), ktorým sa zrušuje nariadenie (EÚ) č. 1309/2013</w:t>
      </w:r>
      <w:r w:rsidRPr="00C01FBC">
        <w:rPr>
          <w:noProof/>
          <w:vertAlign w:val="superscript"/>
        </w:rPr>
        <w:footnoteReference w:id="1"/>
      </w:r>
      <w:r w:rsidRPr="00C01FBC">
        <w:t xml:space="preserve"> (ďalej len „nariadenie o EGF“), </w:t>
      </w:r>
    </w:p>
    <w:p w14:paraId="48E36A37" w14:textId="77777777" w:rsidR="00DD6B6D" w:rsidRPr="00C01FBC" w:rsidRDefault="00DD6B6D" w:rsidP="00DD6B6D">
      <w:pPr>
        <w:pStyle w:val="NormalHanging12a"/>
        <w:rPr>
          <w:noProof/>
        </w:rPr>
      </w:pPr>
      <w:r w:rsidRPr="00C01FBC">
        <w:t>–</w:t>
      </w:r>
      <w:r w:rsidRPr="00C01FBC">
        <w:tab/>
        <w:t xml:space="preserve">so zreteľom na nariadenie Rady (EÚ, </w:t>
      </w:r>
      <w:proofErr w:type="spellStart"/>
      <w:r w:rsidRPr="00C01FBC">
        <w:t>Euratom</w:t>
      </w:r>
      <w:proofErr w:type="spellEnd"/>
      <w:r w:rsidRPr="00C01FBC">
        <w:t>) 2020/2093 zo 17. decembra 2020, ktorým sa stanovuje viacročný finančný rámec na roky 2021 až 2027</w:t>
      </w:r>
      <w:r w:rsidRPr="00C01FBC">
        <w:rPr>
          <w:noProof/>
          <w:vertAlign w:val="superscript"/>
        </w:rPr>
        <w:footnoteReference w:id="2"/>
      </w:r>
      <w:r w:rsidRPr="00C01FBC">
        <w:t xml:space="preserve">, zmenené nariadením (EÚ, </w:t>
      </w:r>
      <w:proofErr w:type="spellStart"/>
      <w:r w:rsidRPr="00C01FBC">
        <w:t>Euratom</w:t>
      </w:r>
      <w:proofErr w:type="spellEnd"/>
      <w:r w:rsidRPr="00C01FBC">
        <w:t>) 2024/765</w:t>
      </w:r>
      <w:r w:rsidRPr="00C01FBC">
        <w:rPr>
          <w:noProof/>
          <w:vertAlign w:val="superscript"/>
        </w:rPr>
        <w:footnoteReference w:id="3"/>
      </w:r>
      <w:r w:rsidRPr="00C01FBC">
        <w:t xml:space="preserve"> (ďalej len „nariadenie o VFR“), a najmä na jeho článok 8, </w:t>
      </w:r>
    </w:p>
    <w:p w14:paraId="576E94F3" w14:textId="77777777" w:rsidR="00DD6B6D" w:rsidRPr="00C01FBC" w:rsidRDefault="00DD6B6D" w:rsidP="00DD6B6D">
      <w:pPr>
        <w:pStyle w:val="NormalHanging12a"/>
        <w:rPr>
          <w:noProof/>
        </w:rPr>
      </w:pPr>
      <w:r w:rsidRPr="00C01FBC">
        <w:t>–</w:t>
      </w:r>
      <w:r w:rsidRPr="00C01FBC">
        <w:tab/>
        <w:t xml:space="preserve">so zreteľom na </w:t>
      </w:r>
      <w:proofErr w:type="spellStart"/>
      <w:r w:rsidRPr="00C01FBC">
        <w:t>Medziinštitucionálnu</w:t>
      </w:r>
      <w:proofErr w:type="spellEnd"/>
      <w:r w:rsidRPr="00C01FBC">
        <w:t xml:space="preserve"> dohodu zo 16. decembra 2020 medzi Európskym parlamentom, Radou Európskej únie a Európskou komisiou o rozpočtovej disciplíne, spolupráci v rozpočtových záležitostiach a správnom finančnom riadení, ako aj o </w:t>
      </w:r>
      <w:r w:rsidRPr="00C01FBC">
        <w:lastRenderedPageBreak/>
        <w:t>nových vlastných zdrojoch vrátane plánu na zavedenie nových vlastných zdrojov</w:t>
      </w:r>
      <w:r w:rsidRPr="00C01FBC">
        <w:rPr>
          <w:noProof/>
          <w:vertAlign w:val="superscript"/>
        </w:rPr>
        <w:footnoteReference w:id="4"/>
      </w:r>
      <w:r w:rsidRPr="00C01FBC">
        <w:t>, a najmä na jej bod 9,</w:t>
      </w:r>
    </w:p>
    <w:p w14:paraId="4855075E" w14:textId="77777777" w:rsidR="00DD6B6D" w:rsidRPr="00C01FBC" w:rsidRDefault="00DD6B6D" w:rsidP="00DD6B6D">
      <w:pPr>
        <w:pStyle w:val="NormalHanging12a"/>
        <w:rPr>
          <w:noProof/>
        </w:rPr>
      </w:pPr>
      <w:r w:rsidRPr="00C01FBC">
        <w:t>–</w:t>
      </w:r>
      <w:r w:rsidRPr="00C01FBC">
        <w:tab/>
        <w:t>so zreteľom na Európsky pilier sociálnych práv,</w:t>
      </w:r>
    </w:p>
    <w:p w14:paraId="010879DE" w14:textId="77777777" w:rsidR="00DD6B6D" w:rsidRPr="00C01FBC" w:rsidRDefault="00DD6B6D" w:rsidP="00DD6B6D">
      <w:pPr>
        <w:pStyle w:val="NormalHanging12a"/>
        <w:rPr>
          <w:noProof/>
        </w:rPr>
      </w:pPr>
      <w:r w:rsidRPr="00C01FBC">
        <w:t>–</w:t>
      </w:r>
      <w:r w:rsidRPr="00C01FBC">
        <w:tab/>
        <w:t>so zreteľom na stanovisko Výboru pre zamestnanosť a sociálne veci,</w:t>
      </w:r>
    </w:p>
    <w:p w14:paraId="3D37EF86" w14:textId="77777777" w:rsidR="00DD6B6D" w:rsidRPr="00C01FBC" w:rsidRDefault="00DD6B6D" w:rsidP="00DD6B6D">
      <w:pPr>
        <w:pStyle w:val="NormalHanging12a"/>
        <w:rPr>
          <w:noProof/>
        </w:rPr>
      </w:pPr>
      <w:r w:rsidRPr="00C01FBC">
        <w:t>–</w:t>
      </w:r>
      <w:r w:rsidRPr="00C01FBC">
        <w:tab/>
        <w:t>so zreteľom na správu Výboru pre rozpočet (A10</w:t>
      </w:r>
      <w:r w:rsidRPr="00C01FBC">
        <w:noBreakHyphen/>
        <w:t>0060/2026),</w:t>
      </w:r>
    </w:p>
    <w:p w14:paraId="25ECB229" w14:textId="77777777" w:rsidR="00DD6B6D" w:rsidRPr="00C01FBC" w:rsidRDefault="00DD6B6D" w:rsidP="00DD6B6D">
      <w:pPr>
        <w:pStyle w:val="NormalHanging12a"/>
        <w:rPr>
          <w:noProof/>
        </w:rPr>
      </w:pPr>
      <w:r w:rsidRPr="00C01FBC">
        <w:t>A.</w:t>
      </w:r>
      <w:r w:rsidRPr="00C01FBC">
        <w:tab/>
        <w:t>keďže Únia vytvorila legislatívne a rozpočtové nástroje s cieľom poskytovať dodatočnú podporu pracovníkom postihnutým dôsledkami veľkých štrukturálnych udalostí a zmien v usporiadaní svetového obchodu a pomáhať im pri opätovnom začleňovaní do trhu práce; keďže táto pomoc sa uskutočňuje formou finančnej podpory poskytovanej pracovníkom;</w:t>
      </w:r>
    </w:p>
    <w:p w14:paraId="047BA2F8" w14:textId="77777777" w:rsidR="00DD6B6D" w:rsidRPr="00C01FBC" w:rsidRDefault="00DD6B6D" w:rsidP="00DD6B6D">
      <w:pPr>
        <w:pStyle w:val="NormalHanging12a"/>
        <w:rPr>
          <w:noProof/>
        </w:rPr>
      </w:pPr>
      <w:r w:rsidRPr="00C01FBC">
        <w:t>B.</w:t>
      </w:r>
      <w:r w:rsidRPr="00C01FBC">
        <w:tab/>
        <w:t>keďže Rakúsko predložilo žiadosť EGF/2025/005 AT/KTM o finančný príspevok z EGF v dôsledku prepustenia 1488 pracovníkov</w:t>
      </w:r>
      <w:r w:rsidRPr="00C01FBC">
        <w:rPr>
          <w:noProof/>
          <w:vertAlign w:val="superscript"/>
        </w:rPr>
        <w:footnoteReference w:id="5"/>
      </w:r>
      <w:r w:rsidRPr="00C01FBC">
        <w:t xml:space="preserve"> v spoločnosti KTM </w:t>
      </w:r>
      <w:proofErr w:type="spellStart"/>
      <w:r w:rsidRPr="00C01FBC">
        <w:t>Gruppe</w:t>
      </w:r>
      <w:proofErr w:type="spellEnd"/>
      <w:r w:rsidRPr="00C01FBC">
        <w:t xml:space="preserve"> (KTM) v hospodárskom odvetví zaradenom podľa klasifikácie NACE </w:t>
      </w:r>
      <w:proofErr w:type="spellStart"/>
      <w:r w:rsidRPr="00C01FBC">
        <w:t>Revision</w:t>
      </w:r>
      <w:proofErr w:type="spellEnd"/>
      <w:r w:rsidRPr="00C01FBC">
        <w:t xml:space="preserve"> 2 do divízie 30 (Výroba ostatných dopravných prostriedkov) v regióne Horné Rakúsko (AT31), pričom 233 pracovníkov bolo prepustených v referenčnom období od 25. februára 2025 do 25. júna 2025 a 1 255 pracovníkov bolo prepustených pred referenčným obdobím alebo po ňom; </w:t>
      </w:r>
    </w:p>
    <w:p w14:paraId="1627AFEE" w14:textId="77777777" w:rsidR="00DD6B6D" w:rsidRPr="00C01FBC" w:rsidRDefault="00DD6B6D" w:rsidP="00DD6B6D">
      <w:pPr>
        <w:pStyle w:val="NormalHanging12a"/>
        <w:rPr>
          <w:noProof/>
        </w:rPr>
      </w:pPr>
      <w:r w:rsidRPr="00C01FBC">
        <w:t>C.</w:t>
      </w:r>
      <w:r w:rsidRPr="00C01FBC">
        <w:tab/>
        <w:t>keďže žiadosť vychádza z intervenčných kritérií uvedených v článku 4 ods. 2 písm. a) nariadenia o EGF, podľa ktorého je potrebné ukončenie činnosti najmenej 200 pracovníkov, ktorí prišli o zamestnanie, alebo samostatne zárobkovo činných osôb v referenčnom období štyroch mesiacov v podniku v členskom štáte; keďže v prípade 1 255 prepustených pracovníkov, ktorých činnosť bola ukončená pred štvormesačným referenčným obdobím alebo po ňom, možno preukázať jasnú príčinnú súvislosť s udalosťou, ktorá viedla k ukončeniu činnosti prepustených pracovníkov počas referenčného obdobia, ako sa vyžaduje v článku 6 ods. 2 nariadenia o EGF;</w:t>
      </w:r>
    </w:p>
    <w:p w14:paraId="0B94FAE8" w14:textId="6777B951" w:rsidR="00DD6B6D" w:rsidRPr="00C01FBC" w:rsidRDefault="00DD6B6D" w:rsidP="00DD6B6D">
      <w:pPr>
        <w:pStyle w:val="NormalHanging12a"/>
        <w:rPr>
          <w:noProof/>
        </w:rPr>
      </w:pPr>
      <w:r w:rsidRPr="00C01FBC">
        <w:t>D.</w:t>
      </w:r>
      <w:r w:rsidRPr="00C01FBC">
        <w:tab/>
        <w:t xml:space="preserve">keďže KTM podala 29. novembra 2024 návrh na vyhlásenie platobnej neschopnosti a 25. februára 2025 bol schválený reštrukturalizačný plán; keďže určité rozhodnutia spoločnosti týkajúce sa rozdeľovania dividend v rokoch 2021 a 2024 pri súčasnom poberaní verejnej štátnej pomoci počas pandémie </w:t>
      </w:r>
      <w:r w:rsidR="004379A4" w:rsidRPr="00C01FBC">
        <w:t xml:space="preserve">ochorenia </w:t>
      </w:r>
      <w:r w:rsidRPr="00C01FBC">
        <w:t>COVID-19 vyvolávajú obavy;</w:t>
      </w:r>
    </w:p>
    <w:p w14:paraId="6D6A47A8" w14:textId="77777777" w:rsidR="00DD6B6D" w:rsidRPr="00C01FBC" w:rsidRDefault="00DD6B6D" w:rsidP="00DD6B6D">
      <w:pPr>
        <w:pStyle w:val="NormalHanging12a"/>
        <w:rPr>
          <w:noProof/>
        </w:rPr>
      </w:pPr>
      <w:r w:rsidRPr="00C01FBC">
        <w:t>E.</w:t>
      </w:r>
      <w:r w:rsidRPr="00C01FBC">
        <w:tab/>
        <w:t>keďže Rakúsko uviedlo, že verejné služby zamestnanosti Horného Rakúska a spolková krajina Horné Rakúsko poskytujú vnútroštátne predbežné financovanie a spolufinancovanie opatrení;</w:t>
      </w:r>
    </w:p>
    <w:p w14:paraId="214BECC6" w14:textId="77777777" w:rsidR="00DD6B6D" w:rsidRPr="00C01FBC" w:rsidRDefault="00DD6B6D" w:rsidP="00DD6B6D">
      <w:pPr>
        <w:pStyle w:val="NormalHanging12a"/>
        <w:rPr>
          <w:noProof/>
        </w:rPr>
      </w:pPr>
      <w:r w:rsidRPr="00C01FBC">
        <w:t>F.</w:t>
      </w:r>
      <w:r w:rsidRPr="00C01FBC">
        <w:tab/>
        <w:t>keďže boli splnené požiadavky stanovené v právnych predpisoch Únie a vo vnútroštátnych právnych predpisoch, ktoré sa týkajú hromadného prepúšťania;</w:t>
      </w:r>
    </w:p>
    <w:p w14:paraId="78C71B67" w14:textId="77777777" w:rsidR="00DD6B6D" w:rsidRPr="00C01FBC" w:rsidRDefault="00DD6B6D" w:rsidP="00DD6B6D">
      <w:pPr>
        <w:pStyle w:val="NormalHanging12a"/>
        <w:rPr>
          <w:noProof/>
        </w:rPr>
      </w:pPr>
      <w:r w:rsidRPr="00C01FBC">
        <w:t>G.</w:t>
      </w:r>
      <w:r w:rsidRPr="00C01FBC">
        <w:tab/>
        <w:t xml:space="preserve">keďže finančné príspevky z EGF by mali byť zacielené predovšetkým na aktívne opatrenia politiky trhu práce a </w:t>
      </w:r>
      <w:proofErr w:type="spellStart"/>
      <w:r w:rsidRPr="00C01FBC">
        <w:t>personalizované</w:t>
      </w:r>
      <w:proofErr w:type="spellEnd"/>
      <w:r w:rsidRPr="00C01FBC">
        <w:t xml:space="preserve"> služby zamerané na rýchle opätovné začlenenie prijímateľov do trhu práce, pričom by im mali ponúkať odbornú prípravu v oblasti zručností na uľahčenie prístupu na trh práce v budúcnosti a ich prípravu na </w:t>
      </w:r>
      <w:r w:rsidRPr="00C01FBC">
        <w:lastRenderedPageBreak/>
        <w:t>zelenú a digitálnu transformáciu;</w:t>
      </w:r>
    </w:p>
    <w:p w14:paraId="09733675" w14:textId="77777777" w:rsidR="00DD6B6D" w:rsidRPr="00C01FBC" w:rsidRDefault="00DD6B6D" w:rsidP="00DD6B6D">
      <w:pPr>
        <w:pStyle w:val="NormalHanging12a"/>
        <w:rPr>
          <w:noProof/>
        </w:rPr>
      </w:pPr>
      <w:r w:rsidRPr="00C01FBC">
        <w:t>H.</w:t>
      </w:r>
      <w:r w:rsidRPr="00C01FBC">
        <w:tab/>
        <w:t>keďže EGF nesmie prekročiť maximálnu ročnú sumu 30 miliónov EUR (v cenách z roku 2018)</w:t>
      </w:r>
      <w:r w:rsidRPr="00C01FBC">
        <w:rPr>
          <w:noProof/>
          <w:vertAlign w:val="superscript"/>
        </w:rPr>
        <w:footnoteReference w:id="6"/>
      </w:r>
      <w:r w:rsidRPr="00C01FBC">
        <w:t>;</w:t>
      </w:r>
    </w:p>
    <w:p w14:paraId="23FCD9AF" w14:textId="77777777" w:rsidR="00DD6B6D" w:rsidRPr="00C01FBC" w:rsidRDefault="00DD6B6D" w:rsidP="00DD6B6D">
      <w:pPr>
        <w:pStyle w:val="NormalHanging12a"/>
        <w:rPr>
          <w:bCs/>
          <w:iCs/>
          <w:noProof/>
        </w:rPr>
      </w:pPr>
      <w:r w:rsidRPr="00C01FBC">
        <w:t>I.</w:t>
      </w:r>
      <w:r w:rsidRPr="00C01FBC">
        <w:tab/>
        <w:t>keďže nedávne premiestnenia výrobných činností mimo Únie zdôrazňujú potrebu posilniť konkurencieschopnosť a odolnosť európskeho priemyslu na svetovom trhu;</w:t>
      </w:r>
    </w:p>
    <w:p w14:paraId="14755A63" w14:textId="77777777" w:rsidR="00DD6B6D" w:rsidRPr="00C01FBC" w:rsidRDefault="00DD6B6D" w:rsidP="00DD6B6D">
      <w:pPr>
        <w:pStyle w:val="NormalHanging12a"/>
        <w:rPr>
          <w:noProof/>
        </w:rPr>
      </w:pPr>
      <w:r w:rsidRPr="00C01FBC">
        <w:t>1.</w:t>
      </w:r>
      <w:r w:rsidRPr="00C01FBC">
        <w:tab/>
        <w:t xml:space="preserve">súhlasí s Komisiou, že podmienky stanovené v nariadení o EGF, a najmä v jeho článku 4 ods. 2 písm. a), sú splnené a že Rakúsko má podľa uvedeného nariadenia nárok na finančný príspevok vo výške 1 806 624 EUR, čo predstavuje 60 % celkových nákladov vo výške 3 011 040 EUR zahŕňajúcich výdavky na </w:t>
      </w:r>
      <w:proofErr w:type="spellStart"/>
      <w:r w:rsidRPr="00C01FBC">
        <w:t>personalizované</w:t>
      </w:r>
      <w:proofErr w:type="spellEnd"/>
      <w:r w:rsidRPr="00C01FBC">
        <w:t xml:space="preserve"> služby vo výške 2 895 120 EUR a výdavky na činnosti prípravy, riadenia, informovania a propagácie, kontroly a podávania správ vo výške 115 920 EUR;</w:t>
      </w:r>
    </w:p>
    <w:p w14:paraId="751954B0" w14:textId="77777777" w:rsidR="00DD6B6D" w:rsidRPr="00C01FBC" w:rsidRDefault="00DD6B6D" w:rsidP="00DD6B6D">
      <w:pPr>
        <w:pStyle w:val="NormalHanging12a"/>
        <w:rPr>
          <w:noProof/>
        </w:rPr>
      </w:pPr>
      <w:r w:rsidRPr="00C01FBC">
        <w:t>2.</w:t>
      </w:r>
      <w:r w:rsidRPr="00C01FBC">
        <w:tab/>
        <w:t>konštatuje, že rakúske orgány podali žiadosť 15. septembra 2025 a že na základe dodatočných informácií, ktoré poskytlo Rakúsko, Komisia 6. februára 2026 dokončila svoje posúdenie a 11. februára 2026 o tom informovala Parlament; zdôrazňuje, že je dôležité skrátiť čas medzi predložením žiadosti o pomoc z EGF a rozhodnutím o financovaní a zároveň v plnej miere chrániť práva Európskeho parlamentu ako jednej zo zložiek rozpočtového orgánu;</w:t>
      </w:r>
    </w:p>
    <w:p w14:paraId="67D2E423" w14:textId="77777777" w:rsidR="00DD6B6D" w:rsidRPr="00C01FBC" w:rsidRDefault="00DD6B6D" w:rsidP="00DD6B6D">
      <w:pPr>
        <w:pStyle w:val="NormalHanging12a"/>
        <w:rPr>
          <w:noProof/>
        </w:rPr>
      </w:pPr>
      <w:r w:rsidRPr="00C01FBC">
        <w:t>3.</w:t>
      </w:r>
      <w:r w:rsidRPr="00C01FBC">
        <w:tab/>
        <w:t xml:space="preserve">konštatuje, že žiadosť sa týka 1 488 pracovníkov dotknutých </w:t>
      </w:r>
      <w:proofErr w:type="spellStart"/>
      <w:r w:rsidRPr="00C01FBC">
        <w:t>insolvenčným</w:t>
      </w:r>
      <w:proofErr w:type="spellEnd"/>
      <w:r w:rsidRPr="00C01FBC">
        <w:t xml:space="preserve"> konaním KTM, ktoré bolo historicky najväčším v Hornom Rakúsku; ďalej konštatuje, že dotknutými prijímateľmi bude celkovo 420 prepustených pracovníkov, ktorí sa majú zúčastniť na opatreniach;</w:t>
      </w:r>
    </w:p>
    <w:p w14:paraId="20870AD4" w14:textId="77777777" w:rsidR="00DD6B6D" w:rsidRPr="00C01FBC" w:rsidRDefault="00DD6B6D" w:rsidP="00DD6B6D">
      <w:pPr>
        <w:pStyle w:val="NormalHanging12a"/>
        <w:rPr>
          <w:noProof/>
        </w:rPr>
      </w:pPr>
      <w:r w:rsidRPr="00C01FBC">
        <w:t>4.</w:t>
      </w:r>
      <w:r w:rsidRPr="00C01FBC">
        <w:tab/>
        <w:t xml:space="preserve">konštatuje, že KTM bol najväčším výrobcom motocyklov v Únii a najväčšou dcérskou spoločnosťou spoločnosti </w:t>
      </w:r>
      <w:proofErr w:type="spellStart"/>
      <w:r w:rsidRPr="00C01FBC">
        <w:t>Pierer</w:t>
      </w:r>
      <w:proofErr w:type="spellEnd"/>
      <w:r w:rsidRPr="00C01FBC">
        <w:t xml:space="preserve"> Mobility AG; vyjadruje poľutovanie nad tým, že materská spoločnosť sa v decembri 2023 rozhodla presunúť výrobu do Číny a Indie z dôvodu nespravodlivých podmienok hospodárskej súťaže; berie na vedomie, že to viedlo k počiatočnému zrušeniu 300 pracovných miest a že následné straty predaja podnietili KTM k zníženiu nákladov vrátane prepustenia viac ako 500 zamestnancov počas roku 2024;</w:t>
      </w:r>
    </w:p>
    <w:p w14:paraId="77B72102" w14:textId="77777777" w:rsidR="00DD6B6D" w:rsidRPr="00C01FBC" w:rsidRDefault="00DD6B6D" w:rsidP="00DD6B6D">
      <w:pPr>
        <w:pStyle w:val="NormalHanging12a"/>
        <w:rPr>
          <w:noProof/>
        </w:rPr>
      </w:pPr>
      <w:r w:rsidRPr="00C01FBC">
        <w:t>5.</w:t>
      </w:r>
      <w:r w:rsidRPr="00C01FBC">
        <w:tab/>
        <w:t xml:space="preserve">konštatuje, že materská spoločnosť musela začať proces reštrukturalizácie a že počas prvého zastavenia výroby KTM v roku 2025 bolo prepustených viac ako 750 ďalších zamestnancov; konštatuje, že investor </w:t>
      </w:r>
      <w:proofErr w:type="spellStart"/>
      <w:r w:rsidRPr="00C01FBC">
        <w:t>Bajaj</w:t>
      </w:r>
      <w:proofErr w:type="spellEnd"/>
      <w:r w:rsidRPr="00C01FBC">
        <w:t xml:space="preserve"> Auto International Holdings B.V. poskytol 22. mája 2025 potrebné zdroje na zabezpečenie pokračovania KTM, čím zabránil konkurzu KTM a umožnil obnovenie výroby v júli 2025 a zároveň obmedzil výdavky;</w:t>
      </w:r>
    </w:p>
    <w:p w14:paraId="477A3A32" w14:textId="77777777" w:rsidR="00DD6B6D" w:rsidRPr="00C01FBC" w:rsidRDefault="00DD6B6D" w:rsidP="00DD6B6D">
      <w:pPr>
        <w:pStyle w:val="NormalHanging12a"/>
        <w:rPr>
          <w:noProof/>
        </w:rPr>
      </w:pPr>
      <w:r w:rsidRPr="00C01FBC">
        <w:t>6.</w:t>
      </w:r>
      <w:r w:rsidRPr="00C01FBC">
        <w:tab/>
        <w:t xml:space="preserve">konštatuje, že KTM bola kedysi jednou z najúspešnejších značiek motocyklov v Európe, významným zamestnávateľom a kľúčovým hospodárskym pilierom mnohých dodávateľov v okrese </w:t>
      </w:r>
      <w:proofErr w:type="spellStart"/>
      <w:r w:rsidRPr="00C01FBC">
        <w:t>Braunau</w:t>
      </w:r>
      <w:proofErr w:type="spellEnd"/>
      <w:r w:rsidRPr="00C01FBC">
        <w:t xml:space="preserve"> v Hornom Rakúsku; konštatuje, že v dôsledku toho sa nezamestnanosť v okrese </w:t>
      </w:r>
      <w:proofErr w:type="spellStart"/>
      <w:r w:rsidRPr="00C01FBC">
        <w:t>Braunau</w:t>
      </w:r>
      <w:proofErr w:type="spellEnd"/>
      <w:r w:rsidRPr="00C01FBC">
        <w:t xml:space="preserve"> v novembri 2024 zvýšila o 37,1 % v porovnaní s rovnakými mesiacmi predchádzajúceho roka; konštatuje, že nezamestnanosť v okrese </w:t>
      </w:r>
      <w:proofErr w:type="spellStart"/>
      <w:r w:rsidRPr="00C01FBC">
        <w:t>Braunau</w:t>
      </w:r>
      <w:proofErr w:type="spellEnd"/>
      <w:r w:rsidRPr="00C01FBC">
        <w:t xml:space="preserve"> dosiahla v roku 2025 historicky najvyššiu úroveň; </w:t>
      </w:r>
    </w:p>
    <w:p w14:paraId="37175C5E" w14:textId="77777777" w:rsidR="00DD6B6D" w:rsidRPr="00C01FBC" w:rsidRDefault="00DD6B6D" w:rsidP="00DD6B6D">
      <w:pPr>
        <w:pStyle w:val="NormalHanging12a"/>
        <w:rPr>
          <w:noProof/>
        </w:rPr>
      </w:pPr>
      <w:r w:rsidRPr="00C01FBC">
        <w:t>7.</w:t>
      </w:r>
      <w:r w:rsidRPr="00C01FBC">
        <w:tab/>
        <w:t xml:space="preserve">pripomína, že po dohode so sociálnymi partnermi pozostávajú </w:t>
      </w:r>
      <w:proofErr w:type="spellStart"/>
      <w:r w:rsidRPr="00C01FBC">
        <w:t>personalizované</w:t>
      </w:r>
      <w:proofErr w:type="spellEnd"/>
      <w:r w:rsidRPr="00C01FBC">
        <w:t xml:space="preserve"> služby, ktoré sa majú poskytovať pracovníkom, z týchto opatrení: správa prípadov; profesijné </w:t>
      </w:r>
      <w:r w:rsidRPr="00C01FBC">
        <w:lastRenderedPageBreak/>
        <w:t>poradenstvo a profesijná orientácia; odborná príprava a rekvalifikácia; proaktívne hľadanie zamestnania; príspevky na odbornú prípravu; zdôrazňuje význam podpory vysokokvalitných pracovných miest orientovaných na budúcnosť s cieľom zabezpečiť dlhodobú hospodársku a sociálnu odolnosť; zdôrazňuje význam úzkej spolupráce s regionálnymi podnikmi a zamestnávateľmi s cieľom zabezpečiť, aby programy odbornej prípravy a rekvalifikácie reagovali na konkrétne potreby trhu práce a uľahčili rýchlu reintegráciu prepustených pracovníkov;</w:t>
      </w:r>
    </w:p>
    <w:p w14:paraId="163F5193" w14:textId="77777777" w:rsidR="00DD6B6D" w:rsidRPr="00C01FBC" w:rsidRDefault="00DD6B6D" w:rsidP="00DD6B6D">
      <w:pPr>
        <w:pStyle w:val="NormalHanging12a"/>
        <w:rPr>
          <w:bCs/>
          <w:iCs/>
          <w:noProof/>
        </w:rPr>
      </w:pPr>
      <w:r w:rsidRPr="00C01FBC">
        <w:t>8.</w:t>
      </w:r>
      <w:r w:rsidRPr="00C01FBC">
        <w:tab/>
        <w:t>pripomína, že EGF je nástrojom solidarity a spravodlivej transformácie a hoci poskytuje podporu po strate pracovných miest, nedokáže nahradiť proaktívnu priemyselnú politiku; zdôrazňuje, že hlavnou úlohou Únie musí byť v prvom rade predchádzať takémuto zatváraniu podnikov, a to vytvorením podmienok na zachovanie konkurencieschopnosti priemyselnej výroby, a zároveň investovať do zručností vysokokvalifikovaných pracovníkov a pracovníkov v priemysle; zdôrazňuje, že treba poskytnúť osobitnú podporu prispôsobenú profilom pracovníkov s nízkou úrovňou vzdelania a zároveň prijímať opatrenia na zníženie počtu konkurzov a riešenie sociálnych rozdielov, ktoré vedú k vylúčeniu z pracovnej sily;</w:t>
      </w:r>
    </w:p>
    <w:p w14:paraId="16293C90" w14:textId="77777777" w:rsidR="00DD6B6D" w:rsidRPr="00C01FBC" w:rsidRDefault="00DD6B6D" w:rsidP="00DD6B6D">
      <w:pPr>
        <w:pStyle w:val="NormalHanging12a"/>
        <w:rPr>
          <w:bCs/>
          <w:iCs/>
          <w:noProof/>
        </w:rPr>
      </w:pPr>
      <w:r w:rsidRPr="00C01FBC">
        <w:t>9.</w:t>
      </w:r>
      <w:r w:rsidRPr="00C01FBC">
        <w:tab/>
        <w:t>zdôrazňuje, že rakúske orgány musia zabezpečiť viditeľnosť financovania z prostriedkov Únie a zdôrazniť ich pridanú hodnotu tým, že poskytnú účinné a cielené informácie prijímateľom, regionálnym a miestnym orgánom, sociálnym partnerom a širšej verejnosti;</w:t>
      </w:r>
    </w:p>
    <w:p w14:paraId="470510B7" w14:textId="77777777" w:rsidR="00DD6B6D" w:rsidRPr="00C01FBC" w:rsidRDefault="00DD6B6D" w:rsidP="00DD6B6D">
      <w:pPr>
        <w:pStyle w:val="NormalHanging12a"/>
        <w:rPr>
          <w:noProof/>
        </w:rPr>
      </w:pPr>
      <w:r w:rsidRPr="00C01FBC">
        <w:t>10.</w:t>
      </w:r>
      <w:r w:rsidRPr="00C01FBC">
        <w:tab/>
        <w:t>požaduje dôkladné záverečné hodnotenie vykonaných opatrení vrátane jasných informácií o tom, ako sa finančné prostriedky použili a či boli vynaložené v súlade so schválenými plánmi;</w:t>
      </w:r>
    </w:p>
    <w:p w14:paraId="285F235C" w14:textId="77777777" w:rsidR="00DD6B6D" w:rsidRPr="00C01FBC" w:rsidRDefault="00DD6B6D" w:rsidP="00DD6B6D">
      <w:pPr>
        <w:pStyle w:val="NormalHanging12a"/>
        <w:rPr>
          <w:noProof/>
        </w:rPr>
      </w:pPr>
      <w:r w:rsidRPr="00C01FBC">
        <w:t>11.</w:t>
      </w:r>
      <w:r w:rsidRPr="00C01FBC">
        <w:tab/>
        <w:t xml:space="preserve">poznamenáva, že Rakúsko začalo poskytovať </w:t>
      </w:r>
      <w:proofErr w:type="spellStart"/>
      <w:r w:rsidRPr="00C01FBC">
        <w:t>personalizované</w:t>
      </w:r>
      <w:proofErr w:type="spellEnd"/>
      <w:r w:rsidRPr="00C01FBC">
        <w:t xml:space="preserve"> služby dotknutým prijímateľom a vznikli mu administratívne výdavky spojené s vykonávaním EGF 1. marca 2025 a že obdobie oprávnenosti na finančný príspevok z EGF preto potrvá od tohto dátumu až do 24, resp. 31 mesiacov odo dňa nadobudnutia účinnosti rozhodnutia o financovaní;</w:t>
      </w:r>
    </w:p>
    <w:p w14:paraId="64DC42F5" w14:textId="77777777" w:rsidR="00DD6B6D" w:rsidRPr="00C01FBC" w:rsidRDefault="00DD6B6D" w:rsidP="00DD6B6D">
      <w:pPr>
        <w:pStyle w:val="NormalHanging12a"/>
        <w:rPr>
          <w:noProof/>
        </w:rPr>
      </w:pPr>
      <w:r w:rsidRPr="00C01FBC">
        <w:t>12.</w:t>
      </w:r>
      <w:r w:rsidRPr="00C01FBC">
        <w:tab/>
        <w:t>konštatuje, že rakúske orgány poskytli uistenie, že pri prístupe k navrhovaným opatreniam a pri ich vykonávaní sa budú dodržiavať zásady rovnakého zaobchádzania a nediskriminácie a že sa zabráni akémukoľvek dvojitému financovaniu;</w:t>
      </w:r>
    </w:p>
    <w:p w14:paraId="7101963B" w14:textId="77777777" w:rsidR="00DD6B6D" w:rsidRPr="00C01FBC" w:rsidRDefault="00DD6B6D" w:rsidP="00DD6B6D">
      <w:pPr>
        <w:pStyle w:val="NormalHanging12a"/>
        <w:rPr>
          <w:noProof/>
        </w:rPr>
      </w:pPr>
      <w:r w:rsidRPr="00C01FBC">
        <w:t>13.</w:t>
      </w:r>
      <w:r w:rsidRPr="00C01FBC">
        <w:tab/>
        <w:t>opakuje, že pomoc z EGF nesmie nahrádzať opatrenia, za ktoré na základe vnútroštátnych právnych predpisov alebo kolektívnych zmlúv zodpovedajú podniky;</w:t>
      </w:r>
    </w:p>
    <w:p w14:paraId="64ED3E7B" w14:textId="77777777" w:rsidR="00DD6B6D" w:rsidRPr="00C01FBC" w:rsidRDefault="00DD6B6D" w:rsidP="00DD6B6D">
      <w:pPr>
        <w:pStyle w:val="NormalHanging12a"/>
        <w:rPr>
          <w:noProof/>
        </w:rPr>
      </w:pPr>
      <w:r w:rsidRPr="00C01FBC">
        <w:t>14.</w:t>
      </w:r>
      <w:r w:rsidRPr="00C01FBC">
        <w:tab/>
        <w:t>schvaľuje rozhodnutie, ktoré je uvedené v prílohe k tomuto uzneseniu;</w:t>
      </w:r>
    </w:p>
    <w:p w14:paraId="7C82E7FF" w14:textId="77777777" w:rsidR="00DD6B6D" w:rsidRPr="00C01FBC" w:rsidRDefault="00DD6B6D" w:rsidP="00DD6B6D">
      <w:pPr>
        <w:pStyle w:val="NormalHanging12a"/>
        <w:rPr>
          <w:noProof/>
        </w:rPr>
      </w:pPr>
      <w:r w:rsidRPr="00C01FBC">
        <w:t>15.</w:t>
      </w:r>
      <w:r w:rsidRPr="00C01FBC">
        <w:tab/>
        <w:t xml:space="preserve">poveruje svoju predsedníčku, aby podpísala toto rozhodnutie spoločne s predsedom Rady a aby zabezpečila jeho uverejnenie v </w:t>
      </w:r>
      <w:r w:rsidRPr="00C01FBC">
        <w:rPr>
          <w:i/>
          <w:iCs/>
        </w:rPr>
        <w:t>Úradnom vestníku Európskej únie</w:t>
      </w:r>
      <w:r w:rsidRPr="00C01FBC">
        <w:t>;</w:t>
      </w:r>
    </w:p>
    <w:p w14:paraId="450B1061" w14:textId="77777777" w:rsidR="00DD6B6D" w:rsidRPr="00C01FBC" w:rsidRDefault="00DD6B6D" w:rsidP="00DD6B6D">
      <w:pPr>
        <w:pStyle w:val="NormalHanging12a"/>
        <w:rPr>
          <w:noProof/>
        </w:rPr>
      </w:pPr>
      <w:r w:rsidRPr="00C01FBC">
        <w:t>16.</w:t>
      </w:r>
      <w:r w:rsidRPr="00C01FBC">
        <w:tab/>
        <w:t>poveruje svoju predsedníčku, aby postúpila toto uznesenie spolu s prílohou Rade a Komisii.</w:t>
      </w:r>
    </w:p>
    <w:p w14:paraId="5480450F" w14:textId="77777777" w:rsidR="00DD6B6D" w:rsidRPr="00C01FBC" w:rsidRDefault="00DD6B6D" w:rsidP="00DD6B6D">
      <w:pPr>
        <w:rPr>
          <w:noProof/>
        </w:rPr>
      </w:pPr>
    </w:p>
    <w:p w14:paraId="57E638E6" w14:textId="77777777" w:rsidR="00DD6B6D" w:rsidRPr="00C01FBC" w:rsidRDefault="00DD6B6D" w:rsidP="00DD6B6D">
      <w:pPr>
        <w:pStyle w:val="PageHeading"/>
        <w:rPr>
          <w:noProof/>
        </w:rPr>
        <w:sectPr w:rsidR="00DD6B6D" w:rsidRPr="00C01FBC" w:rsidSect="00BD654A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B5B1F45" w14:textId="77777777" w:rsidR="004379A4" w:rsidRPr="00C01FBC" w:rsidRDefault="00DD6B6D" w:rsidP="00DD6B6D">
      <w:pPr>
        <w:pStyle w:val="PageHeading"/>
        <w:rPr>
          <w:rFonts w:ascii="Times New Roman" w:hAnsi="Times New Roman" w:cs="Times New Roman"/>
        </w:rPr>
      </w:pPr>
      <w:bookmarkStart w:id="7" w:name="_Toc224811177"/>
      <w:r w:rsidRPr="00C01FBC">
        <w:rPr>
          <w:rFonts w:ascii="Times New Roman" w:hAnsi="Times New Roman" w:cs="Times New Roman"/>
        </w:rPr>
        <w:lastRenderedPageBreak/>
        <w:t>PRÍLOHA</w:t>
      </w:r>
    </w:p>
    <w:p w14:paraId="3621B156" w14:textId="0E4934FA" w:rsidR="00DD6B6D" w:rsidRPr="00C01FBC" w:rsidRDefault="00DD6B6D" w:rsidP="00DD6B6D">
      <w:pPr>
        <w:pStyle w:val="PageHeading"/>
        <w:rPr>
          <w:rFonts w:ascii="Times New Roman" w:hAnsi="Times New Roman" w:cs="Times New Roman"/>
          <w:noProof/>
        </w:rPr>
      </w:pPr>
      <w:r w:rsidRPr="00C01FBC">
        <w:rPr>
          <w:rFonts w:ascii="Times New Roman" w:hAnsi="Times New Roman" w:cs="Times New Roman"/>
        </w:rPr>
        <w:t>ROZHODNUTIE EURÓPSKEHO PARLAMENTU A RADY</w:t>
      </w:r>
      <w:bookmarkEnd w:id="7"/>
    </w:p>
    <w:p w14:paraId="459D0BA8" w14:textId="77777777" w:rsidR="00DD6B6D" w:rsidRDefault="00DD6B6D" w:rsidP="00C239F2">
      <w:pPr>
        <w:pStyle w:val="NormalHanging12a"/>
        <w:ind w:left="0" w:firstLine="0"/>
        <w:jc w:val="center"/>
        <w:rPr>
          <w:b/>
        </w:rPr>
      </w:pPr>
      <w:bookmarkStart w:id="8" w:name="_Hlk212804276"/>
      <w:bookmarkStart w:id="9" w:name="_Hlk212804598"/>
      <w:r w:rsidRPr="00C01FBC">
        <w:rPr>
          <w:b/>
        </w:rPr>
        <w:t>o mobilizácii Európskeho fondu na prispôsobenie sa globalizácii na pomoc pracovníkom, ktorí prišli o zamestnanie, na základe žiadosti Rakúska – EGF/2025/005 AT/KTM</w:t>
      </w:r>
    </w:p>
    <w:p w14:paraId="7C2432C5" w14:textId="3FD59ED8" w:rsidR="00C239F2" w:rsidRPr="00C239F2" w:rsidRDefault="00C239F2" w:rsidP="00C239F2">
      <w:pPr>
        <w:widowControl/>
        <w:jc w:val="both"/>
        <w:rPr>
          <w:rFonts w:eastAsia="Calibri"/>
          <w:i/>
          <w:iCs/>
          <w:szCs w:val="24"/>
          <w:lang w:eastAsia="en-US"/>
        </w:rPr>
      </w:pPr>
      <w:r w:rsidRPr="00C239F2">
        <w:rPr>
          <w:rFonts w:eastAsia="Calibri"/>
          <w:bCs/>
          <w:i/>
          <w:iCs/>
          <w:szCs w:val="24"/>
          <w:lang w:eastAsia="en-US"/>
        </w:rPr>
        <w:t>(Znenie tejto prílohy sa neuvádza, pretože zodpovedá konečnému aktu, rozhodnutiu (EÚ) 202</w:t>
      </w:r>
      <w:r>
        <w:rPr>
          <w:rFonts w:eastAsia="Calibri"/>
          <w:bCs/>
          <w:i/>
          <w:iCs/>
          <w:szCs w:val="24"/>
          <w:lang w:eastAsia="en-US"/>
        </w:rPr>
        <w:t>6</w:t>
      </w:r>
      <w:r w:rsidRPr="00C239F2">
        <w:rPr>
          <w:rFonts w:eastAsia="Calibri"/>
          <w:bCs/>
          <w:i/>
          <w:iCs/>
          <w:szCs w:val="24"/>
          <w:lang w:eastAsia="en-US"/>
        </w:rPr>
        <w:t>/</w:t>
      </w:r>
      <w:r>
        <w:rPr>
          <w:rFonts w:eastAsia="Calibri"/>
          <w:bCs/>
          <w:i/>
          <w:iCs/>
          <w:szCs w:val="24"/>
          <w:lang w:eastAsia="en-US"/>
        </w:rPr>
        <w:t>850</w:t>
      </w:r>
      <w:r w:rsidRPr="00C239F2">
        <w:rPr>
          <w:rFonts w:eastAsia="Calibri"/>
          <w:bCs/>
          <w:i/>
          <w:iCs/>
          <w:szCs w:val="24"/>
          <w:lang w:eastAsia="en-US"/>
        </w:rPr>
        <w:t>.)</w:t>
      </w:r>
    </w:p>
    <w:bookmarkEnd w:id="8"/>
    <w:bookmarkEnd w:id="9"/>
    <w:p w14:paraId="7ECCA0AC" w14:textId="77777777" w:rsidR="00C239F2" w:rsidRPr="00C01FBC" w:rsidRDefault="00C239F2" w:rsidP="00C01FBC">
      <w:pPr>
        <w:pStyle w:val="NormalHanging12a"/>
        <w:ind w:left="0" w:firstLine="0"/>
        <w:rPr>
          <w:b/>
          <w:bCs/>
        </w:rPr>
      </w:pPr>
    </w:p>
    <w:sectPr w:rsidR="00C239F2" w:rsidRPr="00C01FBC" w:rsidSect="00BD654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21EC9" w14:textId="77777777" w:rsidR="00737900" w:rsidRPr="00BD654A" w:rsidRDefault="00737900">
      <w:r w:rsidRPr="00BD654A">
        <w:separator/>
      </w:r>
    </w:p>
  </w:endnote>
  <w:endnote w:type="continuationSeparator" w:id="0">
    <w:p w14:paraId="6E0BADB9" w14:textId="77777777" w:rsidR="00737900" w:rsidRPr="00BD654A" w:rsidRDefault="00737900">
      <w:r w:rsidRPr="00BD65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CD9E0" w14:textId="77777777" w:rsidR="00DD6B6D" w:rsidRPr="00BD654A" w:rsidRDefault="00DD6B6D" w:rsidP="0032706A">
    <w:pPr>
      <w:pStyle w:val="EPFooter"/>
    </w:pPr>
    <w:r w:rsidRPr="00BD654A">
      <w:t>PE</w:t>
    </w:r>
    <w:r w:rsidRPr="00BD654A">
      <w:rPr>
        <w:rStyle w:val="HideTWBExt"/>
      </w:rPr>
      <w:t>&lt;</w:t>
    </w:r>
    <w:proofErr w:type="spellStart"/>
    <w:r w:rsidRPr="00BD654A">
      <w:rPr>
        <w:rStyle w:val="HideTWBExt"/>
      </w:rPr>
      <w:t>NoPE</w:t>
    </w:r>
    <w:proofErr w:type="spellEnd"/>
    <w:r w:rsidRPr="00BD654A">
      <w:rPr>
        <w:rStyle w:val="HideTWBExt"/>
      </w:rPr>
      <w:t>&gt;</w:t>
    </w:r>
    <w:r w:rsidRPr="00BD654A">
      <w:t>784.472</w:t>
    </w:r>
    <w:r w:rsidRPr="00BD654A">
      <w:rPr>
        <w:rStyle w:val="HideTWBExt"/>
      </w:rPr>
      <w:t>&lt;/</w:t>
    </w:r>
    <w:proofErr w:type="spellStart"/>
    <w:r w:rsidRPr="00BD654A">
      <w:rPr>
        <w:rStyle w:val="HideTWBExt"/>
      </w:rPr>
      <w:t>NoPE</w:t>
    </w:r>
    <w:proofErr w:type="spellEnd"/>
    <w:r w:rsidRPr="00BD654A">
      <w:rPr>
        <w:rStyle w:val="HideTWBExt"/>
      </w:rPr>
      <w:t>&gt;&lt;Version&gt;</w:t>
    </w:r>
    <w:r w:rsidRPr="00BD654A">
      <w:t>v02-00</w:t>
    </w:r>
    <w:r w:rsidRPr="00BD654A">
      <w:rPr>
        <w:rStyle w:val="HideTWBExt"/>
      </w:rPr>
      <w:t>&lt;/</w:t>
    </w:r>
    <w:proofErr w:type="spellStart"/>
    <w:r w:rsidRPr="00BD654A">
      <w:rPr>
        <w:rStyle w:val="HideTWBExt"/>
      </w:rPr>
      <w:t>Version</w:t>
    </w:r>
    <w:proofErr w:type="spellEnd"/>
    <w:r w:rsidRPr="00BD654A">
      <w:rPr>
        <w:rStyle w:val="HideTWBExt"/>
      </w:rPr>
      <w:t>&gt;</w:t>
    </w:r>
    <w:r w:rsidRPr="00BD654A">
      <w:tab/>
    </w:r>
    <w:r w:rsidRPr="00BD654A">
      <w:fldChar w:fldCharType="begin"/>
    </w:r>
    <w:r w:rsidRPr="00BD654A">
      <w:instrText xml:space="preserve"> PAGE  \* MERGEFORMAT </w:instrText>
    </w:r>
    <w:r w:rsidRPr="00BD654A">
      <w:fldChar w:fldCharType="separate"/>
    </w:r>
    <w:r w:rsidRPr="00BD654A">
      <w:rPr>
        <w:noProof/>
      </w:rPr>
      <w:t>2</w:t>
    </w:r>
    <w:r w:rsidRPr="00BD654A">
      <w:fldChar w:fldCharType="end"/>
    </w:r>
    <w:r w:rsidRPr="00BD654A">
      <w:t>/</w:t>
    </w:r>
    <w:fldSimple w:instr=" NUMPAGES  \* MERGEFORMAT ">
      <w:r w:rsidRPr="00BD654A">
        <w:rPr>
          <w:noProof/>
        </w:rPr>
        <w:t>3</w:t>
      </w:r>
    </w:fldSimple>
    <w:r w:rsidRPr="00BD654A">
      <w:tab/>
    </w:r>
    <w:r w:rsidRPr="00BD654A">
      <w:rPr>
        <w:rStyle w:val="HideTWBExt"/>
      </w:rPr>
      <w:t>&lt;PathFdR&gt;</w:t>
    </w:r>
    <w:r w:rsidRPr="00BD654A">
      <w:t>RR\1339711SK.docx</w:t>
    </w:r>
    <w:r w:rsidRPr="00BD654A">
      <w:rPr>
        <w:rStyle w:val="HideTWBExt"/>
      </w:rPr>
      <w:t>&lt;/</w:t>
    </w:r>
    <w:proofErr w:type="spellStart"/>
    <w:r w:rsidRPr="00BD654A">
      <w:rPr>
        <w:rStyle w:val="HideTWBExt"/>
      </w:rPr>
      <w:t>PathFdR</w:t>
    </w:r>
    <w:proofErr w:type="spellEnd"/>
    <w:r w:rsidRPr="00BD654A">
      <w:rPr>
        <w:rStyle w:val="HideTWBExt"/>
      </w:rPr>
      <w:t>&gt;</w:t>
    </w:r>
  </w:p>
  <w:p w14:paraId="457F5F3C" w14:textId="77777777" w:rsidR="00DD6B6D" w:rsidRPr="00BD654A" w:rsidRDefault="00DD6B6D" w:rsidP="0032706A">
    <w:pPr>
      <w:pStyle w:val="EPFooter2"/>
    </w:pPr>
    <w:r w:rsidRPr="00BD654A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FD13D" w14:textId="77777777" w:rsidR="00DD6B6D" w:rsidRPr="00BD654A" w:rsidRDefault="00DD6B6D" w:rsidP="0032706A">
    <w:pPr>
      <w:pStyle w:val="EPFooter"/>
    </w:pPr>
    <w:r w:rsidRPr="00BD654A">
      <w:rPr>
        <w:rStyle w:val="HideTWBExt"/>
      </w:rPr>
      <w:t>&lt;PathFdR&gt;</w:t>
    </w:r>
    <w:r w:rsidRPr="00BD654A">
      <w:t>RR\1339711SK.docx</w:t>
    </w:r>
    <w:r w:rsidRPr="00BD654A">
      <w:rPr>
        <w:rStyle w:val="HideTWBExt"/>
      </w:rPr>
      <w:t>&lt;/</w:t>
    </w:r>
    <w:proofErr w:type="spellStart"/>
    <w:r w:rsidRPr="00BD654A">
      <w:rPr>
        <w:rStyle w:val="HideTWBExt"/>
      </w:rPr>
      <w:t>PathFdR</w:t>
    </w:r>
    <w:proofErr w:type="spellEnd"/>
    <w:r w:rsidRPr="00BD654A">
      <w:rPr>
        <w:rStyle w:val="HideTWBExt"/>
      </w:rPr>
      <w:t>&gt;</w:t>
    </w:r>
    <w:r w:rsidRPr="00BD654A">
      <w:tab/>
    </w:r>
    <w:r w:rsidRPr="00BD654A">
      <w:tab/>
      <w:t>PE</w:t>
    </w:r>
    <w:r w:rsidRPr="00BD654A">
      <w:rPr>
        <w:rStyle w:val="HideTWBExt"/>
      </w:rPr>
      <w:t>&lt;</w:t>
    </w:r>
    <w:proofErr w:type="spellStart"/>
    <w:r w:rsidRPr="00BD654A">
      <w:rPr>
        <w:rStyle w:val="HideTWBExt"/>
      </w:rPr>
      <w:t>NoPE</w:t>
    </w:r>
    <w:proofErr w:type="spellEnd"/>
    <w:r w:rsidRPr="00BD654A">
      <w:rPr>
        <w:rStyle w:val="HideTWBExt"/>
      </w:rPr>
      <w:t>&gt;</w:t>
    </w:r>
    <w:r w:rsidRPr="00BD654A">
      <w:t>784.472</w:t>
    </w:r>
    <w:r w:rsidRPr="00BD654A">
      <w:rPr>
        <w:rStyle w:val="HideTWBExt"/>
      </w:rPr>
      <w:t>&lt;/</w:t>
    </w:r>
    <w:proofErr w:type="spellStart"/>
    <w:r w:rsidRPr="00BD654A">
      <w:rPr>
        <w:rStyle w:val="HideTWBExt"/>
      </w:rPr>
      <w:t>NoPE</w:t>
    </w:r>
    <w:proofErr w:type="spellEnd"/>
    <w:r w:rsidRPr="00BD654A">
      <w:rPr>
        <w:rStyle w:val="HideTWBExt"/>
      </w:rPr>
      <w:t>&gt;&lt;Version&gt;</w:t>
    </w:r>
    <w:r w:rsidRPr="00BD654A">
      <w:t>v02-00</w:t>
    </w:r>
    <w:r w:rsidRPr="00BD654A">
      <w:rPr>
        <w:rStyle w:val="HideTWBExt"/>
      </w:rPr>
      <w:t>&lt;/</w:t>
    </w:r>
    <w:proofErr w:type="spellStart"/>
    <w:r w:rsidRPr="00BD654A">
      <w:rPr>
        <w:rStyle w:val="HideTWBExt"/>
      </w:rPr>
      <w:t>Version</w:t>
    </w:r>
    <w:proofErr w:type="spellEnd"/>
    <w:r w:rsidRPr="00BD654A">
      <w:rPr>
        <w:rStyle w:val="HideTWBExt"/>
      </w:rPr>
      <w:t>&gt;</w:t>
    </w:r>
  </w:p>
  <w:p w14:paraId="2EAADC3D" w14:textId="77777777" w:rsidR="00DD6B6D" w:rsidRPr="00BD654A" w:rsidRDefault="00DD6B6D" w:rsidP="0032706A">
    <w:pPr>
      <w:pStyle w:val="EPFooter2"/>
    </w:pPr>
    <w:r w:rsidRPr="00BD654A">
      <w:t>SK</w:t>
    </w:r>
    <w:r w:rsidRPr="00BD654A">
      <w:tab/>
    </w:r>
    <w:r w:rsidRPr="00BD654A">
      <w:rPr>
        <w:b w:val="0"/>
        <w:i/>
        <w:color w:val="C0C0C0"/>
        <w:sz w:val="22"/>
      </w:rPr>
      <w:t>Zjednotení v rozmanitosti</w:t>
    </w:r>
    <w:r w:rsidRPr="00BD654A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A10A6" w14:textId="77777777" w:rsidR="00064002" w:rsidRPr="00BD654A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01868" w14:textId="77777777" w:rsidR="00064002" w:rsidRPr="00BD654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83DB4" w14:textId="77777777" w:rsidR="00064002" w:rsidRPr="00BD654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9FD6A" w14:textId="77777777" w:rsidR="00737900" w:rsidRPr="00BD654A" w:rsidRDefault="00737900">
      <w:r w:rsidRPr="00BD654A">
        <w:separator/>
      </w:r>
    </w:p>
  </w:footnote>
  <w:footnote w:type="continuationSeparator" w:id="0">
    <w:p w14:paraId="033F0451" w14:textId="77777777" w:rsidR="00737900" w:rsidRPr="00BD654A" w:rsidRDefault="00737900">
      <w:r w:rsidRPr="00BD654A">
        <w:continuationSeparator/>
      </w:r>
    </w:p>
  </w:footnote>
  <w:footnote w:id="1">
    <w:p w14:paraId="3D833CB9" w14:textId="07A65761" w:rsidR="00DD6B6D" w:rsidRPr="00BD654A" w:rsidRDefault="00DD6B6D" w:rsidP="00BD654A">
      <w:pPr>
        <w:pStyle w:val="FootnoteText"/>
        <w:ind w:left="567" w:hanging="567"/>
        <w:rPr>
          <w:sz w:val="24"/>
          <w:lang w:val="sk-SK"/>
        </w:rPr>
      </w:pPr>
      <w:r w:rsidRPr="00BD654A">
        <w:rPr>
          <w:rStyle w:val="FootnoteReference"/>
          <w:sz w:val="24"/>
          <w:lang w:val="sk-SK"/>
        </w:rPr>
        <w:footnoteRef/>
      </w:r>
      <w:r w:rsidR="00BD654A" w:rsidRPr="00BD654A">
        <w:rPr>
          <w:sz w:val="24"/>
          <w:lang w:val="sk-SK"/>
        </w:rPr>
        <w:t xml:space="preserve"> </w:t>
      </w:r>
      <w:r w:rsidR="00BD654A" w:rsidRPr="00BD654A">
        <w:rPr>
          <w:sz w:val="24"/>
          <w:lang w:val="sk-SK"/>
        </w:rPr>
        <w:tab/>
      </w:r>
      <w:r w:rsidRPr="00BD654A">
        <w:rPr>
          <w:sz w:val="24"/>
          <w:lang w:val="sk-SK"/>
        </w:rPr>
        <w:t xml:space="preserve">Ú. v. EÚ L 153, 3.5.2021, s. 48, ELI: </w:t>
      </w:r>
      <w:r>
        <w:fldChar w:fldCharType="begin"/>
      </w:r>
      <w:r w:rsidRPr="00C239F2">
        <w:rPr>
          <w:lang w:val="fi-FI"/>
        </w:rPr>
        <w:instrText>HYPERLINK "http://data.europa.eu/eli/reg/2021/691/oj"</w:instrText>
      </w:r>
      <w:r>
        <w:fldChar w:fldCharType="separate"/>
      </w:r>
      <w:r w:rsidRPr="00BD654A">
        <w:rPr>
          <w:rStyle w:val="Hyperlink"/>
          <w:sz w:val="24"/>
          <w:lang w:val="sk-SK"/>
        </w:rPr>
        <w:t>http://data.europa.eu/eli/reg/2021/691/oj</w:t>
      </w:r>
      <w:r>
        <w:fldChar w:fldCharType="end"/>
      </w:r>
      <w:r w:rsidRPr="00BD654A">
        <w:rPr>
          <w:sz w:val="24"/>
          <w:lang w:val="sk-SK"/>
        </w:rPr>
        <w:t>.</w:t>
      </w:r>
    </w:p>
  </w:footnote>
  <w:footnote w:id="2">
    <w:p w14:paraId="6EBD615E" w14:textId="3A0EFF07" w:rsidR="00DD6B6D" w:rsidRPr="00BD654A" w:rsidRDefault="00DD6B6D" w:rsidP="00BD654A">
      <w:pPr>
        <w:pStyle w:val="FootnoteText"/>
        <w:ind w:left="567" w:hanging="567"/>
        <w:rPr>
          <w:sz w:val="24"/>
          <w:lang w:val="sk-SK"/>
        </w:rPr>
      </w:pPr>
      <w:r w:rsidRPr="00BD654A">
        <w:rPr>
          <w:rStyle w:val="FootnoteReference"/>
          <w:sz w:val="24"/>
          <w:lang w:val="sk-SK"/>
        </w:rPr>
        <w:footnoteRef/>
      </w:r>
      <w:r w:rsidR="00BD654A" w:rsidRPr="00BD654A">
        <w:rPr>
          <w:sz w:val="24"/>
          <w:lang w:val="sk-SK"/>
        </w:rPr>
        <w:t xml:space="preserve"> </w:t>
      </w:r>
      <w:r w:rsidR="00BD654A" w:rsidRPr="00BD654A">
        <w:rPr>
          <w:sz w:val="24"/>
          <w:lang w:val="sk-SK"/>
        </w:rPr>
        <w:tab/>
      </w:r>
      <w:r w:rsidRPr="00BD654A">
        <w:rPr>
          <w:sz w:val="24"/>
          <w:lang w:val="sk-SK"/>
        </w:rPr>
        <w:t xml:space="preserve">Ú. v. EÚ L 433 I, 22.12.2020, s. 11, ELI: </w:t>
      </w:r>
      <w:r>
        <w:fldChar w:fldCharType="begin"/>
      </w:r>
      <w:r w:rsidRPr="00C239F2">
        <w:rPr>
          <w:lang w:val="fi-FI"/>
        </w:rPr>
        <w:instrText>HYPERLINK "http://data.europa.eu/eli/reg/2020/2093/oj"</w:instrText>
      </w:r>
      <w:r>
        <w:fldChar w:fldCharType="separate"/>
      </w:r>
      <w:r w:rsidRPr="00BD654A">
        <w:rPr>
          <w:rStyle w:val="Hyperlink"/>
          <w:sz w:val="24"/>
          <w:lang w:val="sk-SK"/>
        </w:rPr>
        <w:t>http://data.europa.eu/eli/reg/2020/2093/oj</w:t>
      </w:r>
      <w:r>
        <w:fldChar w:fldCharType="end"/>
      </w:r>
      <w:r w:rsidRPr="00BD654A">
        <w:rPr>
          <w:sz w:val="24"/>
          <w:lang w:val="sk-SK"/>
        </w:rPr>
        <w:t>.</w:t>
      </w:r>
    </w:p>
  </w:footnote>
  <w:footnote w:id="3">
    <w:p w14:paraId="724D3D05" w14:textId="69FEB322" w:rsidR="00DD6B6D" w:rsidRPr="00BD654A" w:rsidRDefault="00DD6B6D" w:rsidP="00BD654A">
      <w:pPr>
        <w:pStyle w:val="FootnoteText"/>
        <w:ind w:left="567" w:hanging="567"/>
        <w:rPr>
          <w:sz w:val="24"/>
          <w:lang w:val="sk-SK"/>
        </w:rPr>
      </w:pPr>
      <w:r w:rsidRPr="00BD654A">
        <w:rPr>
          <w:rStyle w:val="FootnoteReference"/>
          <w:sz w:val="24"/>
          <w:lang w:val="sk-SK"/>
        </w:rPr>
        <w:footnoteRef/>
      </w:r>
      <w:r w:rsidR="00BD654A" w:rsidRPr="00BD654A">
        <w:rPr>
          <w:sz w:val="24"/>
          <w:shd w:val="clear" w:color="auto" w:fill="FFFFFF"/>
          <w:lang w:val="sk-SK"/>
        </w:rPr>
        <w:t xml:space="preserve"> </w:t>
      </w:r>
      <w:r w:rsidR="00BD654A" w:rsidRPr="00BD654A">
        <w:rPr>
          <w:sz w:val="24"/>
          <w:shd w:val="clear" w:color="auto" w:fill="FFFFFF"/>
          <w:lang w:val="sk-SK"/>
        </w:rPr>
        <w:tab/>
      </w:r>
      <w:r w:rsidRPr="00BD654A">
        <w:rPr>
          <w:sz w:val="24"/>
          <w:shd w:val="clear" w:color="auto" w:fill="FFFFFF"/>
          <w:lang w:val="sk-SK"/>
        </w:rPr>
        <w:t xml:space="preserve">Nariadenie Rady (EÚ, </w:t>
      </w:r>
      <w:proofErr w:type="spellStart"/>
      <w:r w:rsidRPr="00BD654A">
        <w:rPr>
          <w:sz w:val="24"/>
          <w:shd w:val="clear" w:color="auto" w:fill="FFFFFF"/>
          <w:lang w:val="sk-SK"/>
        </w:rPr>
        <w:t>Euratom</w:t>
      </w:r>
      <w:proofErr w:type="spellEnd"/>
      <w:r w:rsidRPr="00BD654A">
        <w:rPr>
          <w:sz w:val="24"/>
          <w:shd w:val="clear" w:color="auto" w:fill="FFFFFF"/>
          <w:lang w:val="sk-SK"/>
        </w:rPr>
        <w:t xml:space="preserve">) 2024/765 z 29. februára 2024, ktorým sa mení nariadenie (EÚ, </w:t>
      </w:r>
      <w:proofErr w:type="spellStart"/>
      <w:r w:rsidRPr="00BD654A">
        <w:rPr>
          <w:sz w:val="24"/>
          <w:shd w:val="clear" w:color="auto" w:fill="FFFFFF"/>
          <w:lang w:val="sk-SK"/>
        </w:rPr>
        <w:t>Euratom</w:t>
      </w:r>
      <w:proofErr w:type="spellEnd"/>
      <w:r w:rsidRPr="00BD654A">
        <w:rPr>
          <w:sz w:val="24"/>
          <w:shd w:val="clear" w:color="auto" w:fill="FFFFFF"/>
          <w:lang w:val="sk-SK"/>
        </w:rPr>
        <w:t xml:space="preserve">) 2020/2093, ktorým sa stanovuje viacročný finančný rámec na roky 2021 až 2027 (Ú. v. EÚ L, 2024/765, 29.2.2024, ELI: </w:t>
      </w:r>
      <w:r>
        <w:fldChar w:fldCharType="begin"/>
      </w:r>
      <w:r w:rsidRPr="00C239F2">
        <w:rPr>
          <w:lang w:val="sk-SK"/>
        </w:rPr>
        <w:instrText>HYPERLINK "http://data.europa.eu/eli/reg/2024/765/oj"</w:instrText>
      </w:r>
      <w:r>
        <w:fldChar w:fldCharType="separate"/>
      </w:r>
      <w:r w:rsidRPr="00BD654A">
        <w:rPr>
          <w:rStyle w:val="Hyperlink"/>
          <w:sz w:val="24"/>
          <w:shd w:val="clear" w:color="auto" w:fill="FFFFFF"/>
          <w:lang w:val="sk-SK"/>
        </w:rPr>
        <w:t>http://data.europa.eu/eli/reg/2024/765/oj</w:t>
      </w:r>
      <w:r>
        <w:fldChar w:fldCharType="end"/>
      </w:r>
      <w:r w:rsidRPr="00BD654A">
        <w:rPr>
          <w:sz w:val="24"/>
          <w:shd w:val="clear" w:color="auto" w:fill="FFFFFF"/>
          <w:lang w:val="sk-SK"/>
        </w:rPr>
        <w:t>)</w:t>
      </w:r>
      <w:r w:rsidRPr="00BD654A">
        <w:rPr>
          <w:i/>
          <w:sz w:val="24"/>
          <w:shd w:val="clear" w:color="auto" w:fill="FFFFFF"/>
          <w:lang w:val="sk-SK"/>
        </w:rPr>
        <w:t>.</w:t>
      </w:r>
    </w:p>
  </w:footnote>
  <w:footnote w:id="4">
    <w:p w14:paraId="182ADBFC" w14:textId="6B309843" w:rsidR="00DD6B6D" w:rsidRPr="00BD654A" w:rsidRDefault="00DD6B6D" w:rsidP="00BD654A">
      <w:pPr>
        <w:pStyle w:val="FootnoteText"/>
        <w:ind w:left="567" w:hanging="567"/>
        <w:rPr>
          <w:sz w:val="24"/>
          <w:lang w:val="sk-SK"/>
        </w:rPr>
      </w:pPr>
      <w:r w:rsidRPr="00BD654A">
        <w:rPr>
          <w:rStyle w:val="FootnoteReference"/>
          <w:sz w:val="24"/>
          <w:lang w:val="sk-SK"/>
        </w:rPr>
        <w:footnoteRef/>
      </w:r>
      <w:r w:rsidR="00BD654A" w:rsidRPr="00BD654A">
        <w:rPr>
          <w:sz w:val="24"/>
          <w:lang w:val="sk-SK"/>
        </w:rPr>
        <w:t xml:space="preserve"> </w:t>
      </w:r>
      <w:r w:rsidR="00BD654A" w:rsidRPr="00BD654A">
        <w:rPr>
          <w:sz w:val="24"/>
          <w:lang w:val="sk-SK"/>
        </w:rPr>
        <w:tab/>
      </w:r>
      <w:r w:rsidRPr="00BD654A">
        <w:rPr>
          <w:sz w:val="24"/>
          <w:lang w:val="sk-SK"/>
        </w:rPr>
        <w:t xml:space="preserve">Ú. v. EÚ L 433 I, 22.12.2020, s. 28, ELI: </w:t>
      </w:r>
      <w:r>
        <w:fldChar w:fldCharType="begin"/>
      </w:r>
      <w:r w:rsidRPr="00C239F2">
        <w:rPr>
          <w:lang w:val="fi-FI"/>
        </w:rPr>
        <w:instrText>HYPERLINK "http://data.europa.eu/eli/agree_interinstit/2020/1222/oj"</w:instrText>
      </w:r>
      <w:r>
        <w:fldChar w:fldCharType="separate"/>
      </w:r>
      <w:r w:rsidRPr="00BD654A">
        <w:rPr>
          <w:rStyle w:val="Hyperlink"/>
          <w:sz w:val="24"/>
          <w:lang w:val="sk-SK"/>
        </w:rPr>
        <w:t>http://data.europa.eu/eli/agree_interinstit/2020/1222/oj</w:t>
      </w:r>
      <w:r>
        <w:fldChar w:fldCharType="end"/>
      </w:r>
      <w:r w:rsidRPr="00BD654A">
        <w:rPr>
          <w:sz w:val="24"/>
          <w:lang w:val="sk-SK"/>
        </w:rPr>
        <w:t>.</w:t>
      </w:r>
    </w:p>
  </w:footnote>
  <w:footnote w:id="5">
    <w:p w14:paraId="3F460D11" w14:textId="4E6A2B1B" w:rsidR="00DD6B6D" w:rsidRPr="00BD654A" w:rsidRDefault="00DD6B6D" w:rsidP="00BD654A">
      <w:pPr>
        <w:pStyle w:val="FootnoteText"/>
        <w:ind w:left="567" w:hanging="567"/>
        <w:rPr>
          <w:sz w:val="24"/>
          <w:lang w:val="sk-SK"/>
        </w:rPr>
      </w:pPr>
      <w:r w:rsidRPr="00BD654A">
        <w:rPr>
          <w:rStyle w:val="FootnoteReference"/>
          <w:sz w:val="24"/>
          <w:lang w:val="sk-SK"/>
        </w:rPr>
        <w:footnoteRef/>
      </w:r>
      <w:r w:rsidR="00BD654A" w:rsidRPr="00BD654A">
        <w:rPr>
          <w:sz w:val="24"/>
          <w:lang w:val="sk-SK"/>
        </w:rPr>
        <w:t xml:space="preserve"> </w:t>
      </w:r>
      <w:r w:rsidR="00BD654A" w:rsidRPr="00BD654A">
        <w:rPr>
          <w:sz w:val="24"/>
          <w:lang w:val="sk-SK"/>
        </w:rPr>
        <w:tab/>
      </w:r>
      <w:r w:rsidRPr="00BD654A">
        <w:rPr>
          <w:sz w:val="24"/>
          <w:lang w:val="sk-SK"/>
        </w:rPr>
        <w:t>V zmysle článku 3 nariadenia o EGF.</w:t>
      </w:r>
    </w:p>
  </w:footnote>
  <w:footnote w:id="6">
    <w:p w14:paraId="7D7019B1" w14:textId="7B7E392C" w:rsidR="00DD6B6D" w:rsidRPr="00BD654A" w:rsidRDefault="00DD6B6D" w:rsidP="00BD654A">
      <w:pPr>
        <w:pStyle w:val="FootnoteText"/>
        <w:ind w:left="567" w:hanging="567"/>
        <w:rPr>
          <w:sz w:val="24"/>
          <w:lang w:val="sk-SK"/>
        </w:rPr>
      </w:pPr>
      <w:r w:rsidRPr="00BD654A">
        <w:rPr>
          <w:rStyle w:val="FootnoteReference"/>
          <w:sz w:val="24"/>
          <w:lang w:val="sk-SK"/>
        </w:rPr>
        <w:footnoteRef/>
      </w:r>
      <w:r w:rsidR="00BD654A" w:rsidRPr="00BD654A">
        <w:rPr>
          <w:sz w:val="24"/>
          <w:lang w:val="sk-SK"/>
        </w:rPr>
        <w:t xml:space="preserve"> </w:t>
      </w:r>
      <w:r w:rsidR="00BD654A" w:rsidRPr="00BD654A">
        <w:rPr>
          <w:sz w:val="24"/>
          <w:lang w:val="sk-SK"/>
        </w:rPr>
        <w:tab/>
      </w:r>
      <w:r w:rsidRPr="00BD654A">
        <w:rPr>
          <w:sz w:val="24"/>
          <w:lang w:val="sk-SK"/>
        </w:rPr>
        <w:t>Článok 8 nariadenia o VFR.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E569A" w14:textId="77777777" w:rsidR="00064002" w:rsidRPr="00BD654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2AB92" w14:textId="77777777" w:rsidR="00064002" w:rsidRPr="00BD654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E0C7F" w14:textId="77777777" w:rsidR="00064002" w:rsidRPr="00BD654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39271703">
    <w:abstractNumId w:val="9"/>
  </w:num>
  <w:num w:numId="2" w16cid:durableId="650716002">
    <w:abstractNumId w:val="9"/>
  </w:num>
  <w:num w:numId="3" w16cid:durableId="1384014021">
    <w:abstractNumId w:val="7"/>
  </w:num>
  <w:num w:numId="4" w16cid:durableId="12195593">
    <w:abstractNumId w:val="7"/>
  </w:num>
  <w:num w:numId="5" w16cid:durableId="1093740124">
    <w:abstractNumId w:val="6"/>
  </w:num>
  <w:num w:numId="6" w16cid:durableId="837577453">
    <w:abstractNumId w:val="6"/>
  </w:num>
  <w:num w:numId="7" w16cid:durableId="1888103369">
    <w:abstractNumId w:val="5"/>
  </w:num>
  <w:num w:numId="8" w16cid:durableId="71200977">
    <w:abstractNumId w:val="5"/>
  </w:num>
  <w:num w:numId="9" w16cid:durableId="1832864017">
    <w:abstractNumId w:val="4"/>
  </w:num>
  <w:num w:numId="10" w16cid:durableId="221910417">
    <w:abstractNumId w:val="4"/>
  </w:num>
  <w:num w:numId="11" w16cid:durableId="480390340">
    <w:abstractNumId w:val="8"/>
  </w:num>
  <w:num w:numId="12" w16cid:durableId="1567839959">
    <w:abstractNumId w:val="8"/>
  </w:num>
  <w:num w:numId="13" w16cid:durableId="1837498710">
    <w:abstractNumId w:val="3"/>
  </w:num>
  <w:num w:numId="14" w16cid:durableId="1164979006">
    <w:abstractNumId w:val="3"/>
  </w:num>
  <w:num w:numId="15" w16cid:durableId="821387496">
    <w:abstractNumId w:val="2"/>
  </w:num>
  <w:num w:numId="16" w16cid:durableId="86854370">
    <w:abstractNumId w:val="2"/>
  </w:num>
  <w:num w:numId="17" w16cid:durableId="653222193">
    <w:abstractNumId w:val="1"/>
  </w:num>
  <w:num w:numId="18" w16cid:durableId="373891435">
    <w:abstractNumId w:val="1"/>
  </w:num>
  <w:num w:numId="19" w16cid:durableId="1037126971">
    <w:abstractNumId w:val="0"/>
  </w:num>
  <w:num w:numId="20" w16cid:durableId="829948353">
    <w:abstractNumId w:val="0"/>
  </w:num>
  <w:num w:numId="21" w16cid:durableId="698509080">
    <w:abstractNumId w:val="9"/>
  </w:num>
  <w:num w:numId="22" w16cid:durableId="1981230274">
    <w:abstractNumId w:val="7"/>
  </w:num>
  <w:num w:numId="23" w16cid:durableId="1761490789">
    <w:abstractNumId w:val="6"/>
  </w:num>
  <w:num w:numId="24" w16cid:durableId="1970015095">
    <w:abstractNumId w:val="5"/>
  </w:num>
  <w:num w:numId="25" w16cid:durableId="1658611176">
    <w:abstractNumId w:val="4"/>
  </w:num>
  <w:num w:numId="26" w16cid:durableId="28527557">
    <w:abstractNumId w:val="8"/>
  </w:num>
  <w:num w:numId="27" w16cid:durableId="475534564">
    <w:abstractNumId w:val="3"/>
  </w:num>
  <w:num w:numId="28" w16cid:durableId="1992565159">
    <w:abstractNumId w:val="2"/>
  </w:num>
  <w:num w:numId="29" w16cid:durableId="948313981">
    <w:abstractNumId w:val="1"/>
  </w:num>
  <w:num w:numId="30" w16cid:durableId="1892812305">
    <w:abstractNumId w:val="0"/>
  </w:num>
  <w:num w:numId="31" w16cid:durableId="451478141">
    <w:abstractNumId w:val="9"/>
  </w:num>
  <w:num w:numId="32" w16cid:durableId="44572455">
    <w:abstractNumId w:val="7"/>
  </w:num>
  <w:num w:numId="33" w16cid:durableId="1480226661">
    <w:abstractNumId w:val="6"/>
  </w:num>
  <w:num w:numId="34" w16cid:durableId="1424952421">
    <w:abstractNumId w:val="5"/>
  </w:num>
  <w:num w:numId="35" w16cid:durableId="1548490020">
    <w:abstractNumId w:val="4"/>
  </w:num>
  <w:num w:numId="36" w16cid:durableId="702638552">
    <w:abstractNumId w:val="8"/>
  </w:num>
  <w:num w:numId="37" w16cid:durableId="1772895492">
    <w:abstractNumId w:val="3"/>
  </w:num>
  <w:num w:numId="38" w16cid:durableId="1812601845">
    <w:abstractNumId w:val="2"/>
  </w:num>
  <w:num w:numId="39" w16cid:durableId="1510178459">
    <w:abstractNumId w:val="1"/>
  </w:num>
  <w:num w:numId="40" w16cid:durableId="470640434">
    <w:abstractNumId w:val="0"/>
  </w:num>
  <w:num w:numId="41" w16cid:durableId="248734704">
    <w:abstractNumId w:val="10"/>
  </w:num>
  <w:num w:numId="42" w16cid:durableId="543829481">
    <w:abstractNumId w:val="10"/>
  </w:num>
  <w:num w:numId="43" w16cid:durableId="1753820190">
    <w:abstractNumId w:val="10"/>
  </w:num>
  <w:num w:numId="44" w16cid:durableId="16739451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0/2026"/>
    <w:docVar w:name="dvlangue" w:val="SK"/>
    <w:docVar w:name="dvnumam" w:val="0"/>
    <w:docVar w:name="dvpe" w:val="784.472"/>
    <w:docVar w:name="dvrapporteur" w:val="Spravodajca: "/>
    <w:docVar w:name="dvtitre" w:val="Uznesenie Európskeho parlamentu z/zo xx. xxx 2026 o návrhu rozhodnutia Európskeho parlamentu a Rady o mobilizácii Európskeho fondu na prispôsobenie sa globalizácii na pomoc pracovníkom, ktorí prišli o zamestnanie, na základe žiadosti Rakúska – EGF/2025/005 AT KTM(COM(2026)0010 – C10-0026/2026 – 2026/0037(BUD))"/>
  </w:docVars>
  <w:rsids>
    <w:rsidRoot w:val="0073790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7372"/>
    <w:rsid w:val="002767FF"/>
    <w:rsid w:val="002B18FE"/>
    <w:rsid w:val="002B5493"/>
    <w:rsid w:val="00343214"/>
    <w:rsid w:val="00361C00"/>
    <w:rsid w:val="00395FA1"/>
    <w:rsid w:val="003E15D4"/>
    <w:rsid w:val="003E7C30"/>
    <w:rsid w:val="00411CCE"/>
    <w:rsid w:val="0041666E"/>
    <w:rsid w:val="00421060"/>
    <w:rsid w:val="004379A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2E5C"/>
    <w:rsid w:val="00614AE7"/>
    <w:rsid w:val="006631B6"/>
    <w:rsid w:val="00680577"/>
    <w:rsid w:val="006E1592"/>
    <w:rsid w:val="006F74FA"/>
    <w:rsid w:val="00731ADD"/>
    <w:rsid w:val="00734777"/>
    <w:rsid w:val="00737900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06E7"/>
    <w:rsid w:val="0086175B"/>
    <w:rsid w:val="00865F67"/>
    <w:rsid w:val="00881A7B"/>
    <w:rsid w:val="008840E5"/>
    <w:rsid w:val="00887B3E"/>
    <w:rsid w:val="008C2AC6"/>
    <w:rsid w:val="008E792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4D60"/>
    <w:rsid w:val="00AB441E"/>
    <w:rsid w:val="00AB6293"/>
    <w:rsid w:val="00AE0928"/>
    <w:rsid w:val="00AF3B82"/>
    <w:rsid w:val="00B12E95"/>
    <w:rsid w:val="00B22876"/>
    <w:rsid w:val="00B558F0"/>
    <w:rsid w:val="00BD48FE"/>
    <w:rsid w:val="00BD654A"/>
    <w:rsid w:val="00BD7BD8"/>
    <w:rsid w:val="00BE6ADC"/>
    <w:rsid w:val="00C01FBC"/>
    <w:rsid w:val="00C05BFE"/>
    <w:rsid w:val="00C239F2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87C51"/>
    <w:rsid w:val="00D91E21"/>
    <w:rsid w:val="00DA5641"/>
    <w:rsid w:val="00DA7FCD"/>
    <w:rsid w:val="00DD6B6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7F4C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EF0D4B"/>
  <w15:chartTrackingRefBased/>
  <w15:docId w15:val="{A0E62622-030A-4AEA-A5E1-6A049FA67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D6B6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DD6B6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DD6B6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D6B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D6B6D"/>
    <w:rPr>
      <w:sz w:val="24"/>
      <w:lang w:val="sk-SK"/>
    </w:rPr>
  </w:style>
  <w:style w:type="paragraph" w:customStyle="1" w:styleId="EPFooter">
    <w:name w:val="EPFooter"/>
    <w:basedOn w:val="Normal"/>
    <w:rsid w:val="00DD6B6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D6B6D"/>
    <w:pPr>
      <w:spacing w:before="480" w:after="240"/>
    </w:pPr>
  </w:style>
  <w:style w:type="character" w:styleId="Hyperlink">
    <w:name w:val="Hyperlink"/>
    <w:basedOn w:val="DefaultParagraphFont"/>
    <w:rsid w:val="00DD6B6D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DD6B6D"/>
    <w:rPr>
      <w:sz w:val="24"/>
      <w:lang w:val="sk-SK"/>
    </w:rPr>
  </w:style>
  <w:style w:type="character" w:customStyle="1" w:styleId="PageHeadingChar">
    <w:name w:val="PageHeading Char"/>
    <w:basedOn w:val="DefaultParagraphFont"/>
    <w:link w:val="PageHeading"/>
    <w:rsid w:val="00DD6B6D"/>
    <w:rPr>
      <w:rFonts w:ascii="Arial" w:hAnsi="Arial" w:cs="Arial"/>
      <w:b/>
      <w:sz w:val="24"/>
      <w:lang w:val="sk-SK"/>
    </w:rPr>
  </w:style>
  <w:style w:type="paragraph" w:styleId="Revision">
    <w:name w:val="Revision"/>
    <w:hidden/>
    <w:uiPriority w:val="99"/>
    <w:semiHidden/>
    <w:rsid w:val="004379A4"/>
    <w:rPr>
      <w:sz w:val="24"/>
      <w:lang w:val="sk-SK"/>
    </w:rPr>
  </w:style>
  <w:style w:type="paragraph" w:styleId="Footer">
    <w:name w:val="footer"/>
    <w:basedOn w:val="Normal"/>
    <w:link w:val="FooterChar"/>
    <w:rsid w:val="004379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379A4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4379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9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45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1418</Words>
  <Characters>8893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2026-05-12T10:25:00Z</dcterms:created>
  <dcterms:modified xsi:type="dcterms:W3CDTF">2026-05-12T10:25:00Z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P10_TA(2026)0103_</vt:lpwstr>
  </property>
  <property fmtid="{D5CDD505-2E9C-101B-9397-08002B2CF9AE}" pid="4" name="&lt;Type&gt;">
    <vt:lpwstr>RR</vt:lpwstr>
  </property>
</Properties>
</file>